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B5" w:rsidRDefault="001D01B5" w:rsidP="001D01B5">
      <w:pP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Appendix E</w:t>
      </w:r>
      <w:r w:rsidRPr="00590B1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590B13">
        <w:rPr>
          <w:rFonts w:ascii="Arial" w:hAnsi="Arial" w:cs="Arial"/>
          <w:b/>
          <w:sz w:val="22"/>
          <w:szCs w:val="22"/>
        </w:rPr>
        <w:t xml:space="preserve"> </w:t>
      </w:r>
      <w:r w:rsidRPr="0038557A">
        <w:rPr>
          <w:rFonts w:ascii="Arial" w:hAnsi="Arial" w:cs="Arial"/>
          <w:b/>
          <w:sz w:val="22"/>
          <w:szCs w:val="22"/>
          <w:lang w:val="en-GB" w:eastAsia="en-GB"/>
        </w:rPr>
        <w:t>Individual placement description (Template)</w:t>
      </w:r>
    </w:p>
    <w:p w:rsidR="001D01B5" w:rsidRDefault="001D01B5" w:rsidP="001D01B5">
      <w:pPr>
        <w:tabs>
          <w:tab w:val="center" w:pos="5040"/>
          <w:tab w:val="right" w:pos="9900"/>
        </w:tabs>
        <w:jc w:val="right"/>
      </w:pPr>
      <w:r>
        <w:t xml:space="preserve">                                                                     </w:t>
      </w:r>
      <w:r>
        <w:object w:dxaOrig="2400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54.9pt" o:ole="">
            <v:imagedata r:id="rId6" o:title=""/>
          </v:shape>
          <o:OLEObject Type="Embed" ProgID="MSPhotoEd.3" ShapeID="_x0000_i1025" DrawAspect="Content" ObjectID="_1529124305" r:id="rId7"/>
        </w:object>
      </w:r>
    </w:p>
    <w:p w:rsidR="001D01B5" w:rsidRPr="002C3834" w:rsidRDefault="00F86AA0" w:rsidP="001D01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North East Thames </w:t>
      </w:r>
      <w:r w:rsidR="001D01B5" w:rsidRPr="002C3834">
        <w:rPr>
          <w:rFonts w:ascii="Arial" w:hAnsi="Arial" w:cs="Arial"/>
          <w:b/>
          <w:sz w:val="28"/>
          <w:szCs w:val="28"/>
        </w:rPr>
        <w:t>Foundation School</w:t>
      </w:r>
    </w:p>
    <w:p w:rsidR="001D01B5" w:rsidRPr="002C3834" w:rsidRDefault="001D01B5" w:rsidP="001D01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Individual Placement</w:t>
      </w:r>
      <w:r w:rsidRPr="002C3834">
        <w:rPr>
          <w:rFonts w:ascii="Arial" w:hAnsi="Arial" w:cs="Arial"/>
          <w:b/>
          <w:sz w:val="28"/>
          <w:szCs w:val="28"/>
        </w:rPr>
        <w:t xml:space="preserve"> Description </w:t>
      </w:r>
    </w:p>
    <w:p w:rsidR="001D01B5" w:rsidRDefault="001D01B5" w:rsidP="001D01B5">
      <w:pPr>
        <w:rPr>
          <w:rFonts w:ascii="Arial" w:hAnsi="Arial" w:cs="Arial"/>
          <w:b/>
          <w:sz w:val="22"/>
          <w:szCs w:val="22"/>
        </w:rPr>
      </w:pPr>
    </w:p>
    <w:p w:rsidR="001D01B5" w:rsidRPr="0043462B" w:rsidRDefault="001D01B5" w:rsidP="001D01B5">
      <w:pPr>
        <w:rPr>
          <w:rFonts w:ascii="Arial" w:hAnsi="Arial" w:cs="Arial"/>
          <w:sz w:val="22"/>
          <w:szCs w:val="22"/>
        </w:rPr>
      </w:pPr>
      <w:proofErr w:type="gramStart"/>
      <w:r w:rsidRPr="0043462B">
        <w:rPr>
          <w:rFonts w:ascii="Arial" w:hAnsi="Arial" w:cs="Arial"/>
          <w:sz w:val="22"/>
          <w:szCs w:val="22"/>
        </w:rPr>
        <w:t>All information to be completed by</w:t>
      </w:r>
      <w:r>
        <w:rPr>
          <w:rFonts w:ascii="Arial" w:hAnsi="Arial" w:cs="Arial"/>
          <w:sz w:val="22"/>
          <w:szCs w:val="22"/>
        </w:rPr>
        <w:t xml:space="preserve"> the</w:t>
      </w:r>
      <w:r w:rsidRPr="0043462B">
        <w:rPr>
          <w:rFonts w:ascii="Arial" w:hAnsi="Arial" w:cs="Arial"/>
          <w:sz w:val="22"/>
          <w:szCs w:val="22"/>
        </w:rPr>
        <w:t xml:space="preserve"> Foundation School.</w:t>
      </w:r>
      <w:proofErr w:type="gramEnd"/>
    </w:p>
    <w:p w:rsidR="001D01B5" w:rsidRDefault="001D01B5" w:rsidP="001D01B5">
      <w:pPr>
        <w:rPr>
          <w:rFonts w:ascii="Arial" w:hAnsi="Arial"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1D01B5" w:rsidRPr="004F4EE0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Pr="004F4EE0" w:rsidRDefault="001D01B5" w:rsidP="001D01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177" w:type="dxa"/>
            <w:shd w:val="clear" w:color="auto" w:fill="auto"/>
          </w:tcPr>
          <w:p w:rsidR="001D01B5" w:rsidRPr="00F909C5" w:rsidRDefault="001D01B5" w:rsidP="001D01B5">
            <w:pPr>
              <w:jc w:val="both"/>
              <w:rPr>
                <w:rFonts w:ascii="Arial" w:hAnsi="Arial" w:cs="Arial"/>
              </w:rPr>
            </w:pPr>
          </w:p>
          <w:p w:rsidR="001D01B5" w:rsidRPr="00F909C5" w:rsidRDefault="003109A7" w:rsidP="008502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FY1 </w:t>
            </w:r>
            <w:r w:rsidR="008502F7">
              <w:rPr>
                <w:rFonts w:ascii="Arial" w:hAnsi="Arial" w:cs="Arial"/>
              </w:rPr>
              <w:t>Acute Internal Medicine</w:t>
            </w:r>
          </w:p>
        </w:tc>
      </w:tr>
      <w:tr w:rsidR="001D01B5" w:rsidRPr="004F4EE0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Default="001D01B5" w:rsidP="001D01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177" w:type="dxa"/>
            <w:shd w:val="clear" w:color="auto" w:fill="auto"/>
          </w:tcPr>
          <w:p w:rsidR="001D01B5" w:rsidRPr="00F909C5" w:rsidRDefault="001D01B5" w:rsidP="001D01B5">
            <w:pPr>
              <w:rPr>
                <w:rFonts w:ascii="Arial" w:hAnsi="Arial" w:cs="Arial"/>
              </w:rPr>
            </w:pPr>
          </w:p>
          <w:p w:rsidR="00B727E7" w:rsidRPr="00F909C5" w:rsidRDefault="00ED6967" w:rsidP="00B72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Department of </w:t>
            </w:r>
            <w:r w:rsidR="008502F7">
              <w:rPr>
                <w:rFonts w:ascii="Arial" w:hAnsi="Arial" w:cs="Arial"/>
              </w:rPr>
              <w:t xml:space="preserve">Acute Internal </w:t>
            </w:r>
            <w:r>
              <w:rPr>
                <w:rFonts w:ascii="Arial" w:hAnsi="Arial" w:cs="Arial"/>
              </w:rPr>
              <w:t xml:space="preserve">Medicine comprises of </w:t>
            </w:r>
            <w:r w:rsidR="004428C5">
              <w:rPr>
                <w:rFonts w:ascii="Arial" w:hAnsi="Arial" w:cs="Arial"/>
              </w:rPr>
              <w:t xml:space="preserve">5 Consultants. </w:t>
            </w:r>
            <w:r w:rsidR="00B727E7">
              <w:rPr>
                <w:rFonts w:ascii="Arial" w:hAnsi="Arial" w:cs="Arial"/>
              </w:rPr>
              <w:t xml:space="preserve"> </w:t>
            </w:r>
            <w:r w:rsidR="00D721FA">
              <w:rPr>
                <w:rFonts w:ascii="Arial" w:hAnsi="Arial" w:cs="Arial"/>
              </w:rPr>
              <w:t xml:space="preserve">Daily ward rounds, which are </w:t>
            </w:r>
            <w:proofErr w:type="gramStart"/>
            <w:r w:rsidR="00D721FA">
              <w:rPr>
                <w:rFonts w:ascii="Arial" w:hAnsi="Arial" w:cs="Arial"/>
              </w:rPr>
              <w:t>consultant</w:t>
            </w:r>
            <w:proofErr w:type="gramEnd"/>
            <w:r w:rsidR="00D721FA">
              <w:rPr>
                <w:rFonts w:ascii="Arial" w:hAnsi="Arial" w:cs="Arial"/>
              </w:rPr>
              <w:t xml:space="preserve"> lead.  The ward has a high patient turnover leading to </w:t>
            </w:r>
            <w:r w:rsidR="00B727E7">
              <w:rPr>
                <w:rFonts w:ascii="Arial" w:hAnsi="Arial" w:cs="Arial"/>
              </w:rPr>
              <w:t xml:space="preserve">a wide variety of conditions seen. </w:t>
            </w:r>
            <w:r w:rsidR="00D721FA">
              <w:rPr>
                <w:rFonts w:ascii="Arial" w:hAnsi="Arial" w:cs="Arial"/>
              </w:rPr>
              <w:t xml:space="preserve">You will be dealing with </w:t>
            </w:r>
            <w:proofErr w:type="gramStart"/>
            <w:r w:rsidR="00D721FA">
              <w:rPr>
                <w:rFonts w:ascii="Arial" w:hAnsi="Arial" w:cs="Arial"/>
              </w:rPr>
              <w:t>patient who have</w:t>
            </w:r>
            <w:proofErr w:type="gramEnd"/>
            <w:r w:rsidR="00D721FA">
              <w:rPr>
                <w:rFonts w:ascii="Arial" w:hAnsi="Arial" w:cs="Arial"/>
              </w:rPr>
              <w:t xml:space="preserve"> just been admitted from the </w:t>
            </w:r>
            <w:proofErr w:type="spellStart"/>
            <w:r w:rsidR="00D721FA">
              <w:rPr>
                <w:rFonts w:ascii="Arial" w:hAnsi="Arial" w:cs="Arial"/>
              </w:rPr>
              <w:t>oncall</w:t>
            </w:r>
            <w:proofErr w:type="spellEnd"/>
            <w:r w:rsidR="00D721FA">
              <w:rPr>
                <w:rFonts w:ascii="Arial" w:hAnsi="Arial" w:cs="Arial"/>
              </w:rPr>
              <w:t xml:space="preserve"> team to hospital. You will be required to do job created from the ward rounds and chase up </w:t>
            </w:r>
            <w:proofErr w:type="gramStart"/>
            <w:r w:rsidR="00D721FA">
              <w:rPr>
                <w:rFonts w:ascii="Arial" w:hAnsi="Arial" w:cs="Arial"/>
              </w:rPr>
              <w:t>results .</w:t>
            </w:r>
            <w:proofErr w:type="gramEnd"/>
            <w:r w:rsidR="00D721FA">
              <w:rPr>
                <w:rFonts w:ascii="Arial" w:hAnsi="Arial" w:cs="Arial"/>
              </w:rPr>
              <w:t xml:space="preserve"> There are opportunities to do and see</w:t>
            </w:r>
            <w:r w:rsidR="00B727E7">
              <w:rPr>
                <w:rFonts w:ascii="Arial" w:hAnsi="Arial" w:cs="Arial"/>
              </w:rPr>
              <w:t xml:space="preserve"> practical procedures.</w:t>
            </w:r>
          </w:p>
          <w:p w:rsidR="00ED6967" w:rsidRPr="00F909C5" w:rsidRDefault="00ED6967" w:rsidP="00ED6967">
            <w:pPr>
              <w:rPr>
                <w:rFonts w:ascii="Arial" w:hAnsi="Arial" w:cs="Arial"/>
              </w:rPr>
            </w:pPr>
          </w:p>
          <w:p w:rsidR="001D01B5" w:rsidRPr="00F909C5" w:rsidRDefault="001D01B5" w:rsidP="001D01B5">
            <w:pPr>
              <w:rPr>
                <w:rFonts w:ascii="Arial" w:hAnsi="Arial" w:cs="Arial"/>
              </w:rPr>
            </w:pPr>
          </w:p>
        </w:tc>
      </w:tr>
      <w:tr w:rsidR="001D01B5" w:rsidRPr="004F4EE0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777DB9" w:rsidRDefault="001D01B5" w:rsidP="001D01B5">
            <w:pPr>
              <w:rPr>
                <w:rFonts w:ascii="Arial" w:hAnsi="Arial" w:cs="Arial"/>
                <w:b/>
              </w:rPr>
            </w:pPr>
            <w:r w:rsidRPr="00684629">
              <w:rPr>
                <w:rFonts w:ascii="Arial" w:hAnsi="Arial" w:cs="Arial"/>
                <w:b/>
                <w:sz w:val="22"/>
                <w:szCs w:val="22"/>
              </w:rPr>
              <w:t>The type of work to expect and learning opportunities</w:t>
            </w:r>
          </w:p>
          <w:p w:rsidR="00777DB9" w:rsidRPr="00777DB9" w:rsidRDefault="00777DB9" w:rsidP="00777DB9">
            <w:pPr>
              <w:rPr>
                <w:rFonts w:ascii="Arial" w:hAnsi="Arial" w:cs="Arial"/>
              </w:rPr>
            </w:pPr>
          </w:p>
          <w:p w:rsidR="00777DB9" w:rsidRPr="00777DB9" w:rsidRDefault="00777DB9" w:rsidP="00777DB9">
            <w:pPr>
              <w:rPr>
                <w:rFonts w:ascii="Arial" w:hAnsi="Arial" w:cs="Arial"/>
              </w:rPr>
            </w:pPr>
          </w:p>
          <w:p w:rsidR="00777DB9" w:rsidRDefault="00777DB9" w:rsidP="00777DB9">
            <w:pPr>
              <w:rPr>
                <w:rFonts w:ascii="Arial" w:hAnsi="Arial" w:cs="Arial"/>
              </w:rPr>
            </w:pPr>
          </w:p>
          <w:p w:rsidR="001D01B5" w:rsidRPr="00777DB9" w:rsidRDefault="001D01B5" w:rsidP="00777D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77" w:type="dxa"/>
            <w:shd w:val="clear" w:color="auto" w:fill="auto"/>
          </w:tcPr>
          <w:p w:rsidR="001D01B5" w:rsidRDefault="00026F6D" w:rsidP="001D0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Consultant led ward rounds.</w:t>
            </w:r>
          </w:p>
          <w:p w:rsidR="009B259E" w:rsidRDefault="002350CB" w:rsidP="001D0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Acute Medicine On calls</w:t>
            </w:r>
            <w:r w:rsidR="00026F6D">
              <w:rPr>
                <w:rFonts w:ascii="Arial" w:hAnsi="Arial" w:cs="Arial"/>
              </w:rPr>
              <w:t xml:space="preserve"> – with post take with a consultant.</w:t>
            </w:r>
          </w:p>
          <w:p w:rsidR="009B259E" w:rsidRDefault="009B259E" w:rsidP="00FB5A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-Plenty of </w:t>
            </w:r>
            <w:r w:rsidR="00026F6D">
              <w:rPr>
                <w:rFonts w:ascii="Arial" w:hAnsi="Arial" w:cs="Arial"/>
              </w:rPr>
              <w:t>learning opportunities</w:t>
            </w:r>
            <w:r w:rsidR="00D721FA">
              <w:rPr>
                <w:rFonts w:ascii="Arial" w:hAnsi="Arial" w:cs="Arial"/>
              </w:rPr>
              <w:t xml:space="preserve">: </w:t>
            </w:r>
            <w:r w:rsidR="00026F6D">
              <w:rPr>
                <w:rFonts w:ascii="Arial" w:hAnsi="Arial" w:cs="Arial"/>
              </w:rPr>
              <w:t xml:space="preserve"> clerk acutely unwell patient, </w:t>
            </w:r>
            <w:r w:rsidR="00D721FA">
              <w:rPr>
                <w:rFonts w:ascii="Arial" w:hAnsi="Arial" w:cs="Arial"/>
              </w:rPr>
              <w:t xml:space="preserve">recognizing unwell patients, </w:t>
            </w:r>
            <w:r w:rsidR="00026F6D">
              <w:rPr>
                <w:rFonts w:ascii="Arial" w:hAnsi="Arial" w:cs="Arial"/>
              </w:rPr>
              <w:t xml:space="preserve">undertake core procedures, SLE and enhance time management and team working skills. </w:t>
            </w:r>
          </w:p>
          <w:p w:rsidR="009B259E" w:rsidRDefault="009B259E" w:rsidP="001D01B5">
            <w:pPr>
              <w:rPr>
                <w:rFonts w:ascii="Arial" w:hAnsi="Arial" w:cs="Arial"/>
              </w:rPr>
            </w:pPr>
          </w:p>
          <w:p w:rsidR="009B259E" w:rsidRPr="00684629" w:rsidRDefault="009B259E" w:rsidP="001D01B5">
            <w:pPr>
              <w:rPr>
                <w:rFonts w:ascii="Arial" w:hAnsi="Arial" w:cs="Arial"/>
              </w:rPr>
            </w:pPr>
          </w:p>
        </w:tc>
      </w:tr>
      <w:tr w:rsidR="001D01B5" w:rsidRPr="004F4EE0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Pr="00684629" w:rsidRDefault="001D01B5" w:rsidP="001D01B5">
            <w:pPr>
              <w:jc w:val="both"/>
              <w:rPr>
                <w:rFonts w:ascii="Arial" w:hAnsi="Arial" w:cs="Arial"/>
                <w:b/>
              </w:rPr>
            </w:pPr>
            <w:r w:rsidRPr="00684629">
              <w:rPr>
                <w:rFonts w:ascii="Arial" w:hAnsi="Arial"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  <w:shd w:val="clear" w:color="auto" w:fill="auto"/>
          </w:tcPr>
          <w:p w:rsidR="001D01B5" w:rsidRPr="00684629" w:rsidRDefault="00026F6D" w:rsidP="001D01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A20</w:t>
            </w:r>
            <w:r w:rsidR="00FB5A14">
              <w:rPr>
                <w:rFonts w:ascii="Arial" w:hAnsi="Arial" w:cs="Arial"/>
              </w:rPr>
              <w:t>4</w:t>
            </w:r>
            <w:r w:rsidR="003109A7">
              <w:rPr>
                <w:rFonts w:ascii="Arial" w:hAnsi="Arial" w:cs="Arial"/>
              </w:rPr>
              <w:t xml:space="preserve"> – Broomfield Hospital</w:t>
            </w:r>
          </w:p>
          <w:p w:rsidR="001D01B5" w:rsidRPr="00684629" w:rsidRDefault="001D01B5" w:rsidP="001D01B5">
            <w:pPr>
              <w:jc w:val="both"/>
              <w:rPr>
                <w:rFonts w:ascii="Arial" w:hAnsi="Arial" w:cs="Arial"/>
              </w:rPr>
            </w:pPr>
          </w:p>
        </w:tc>
      </w:tr>
      <w:tr w:rsidR="001D01B5" w:rsidRPr="004F4EE0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Default="001D01B5" w:rsidP="001D01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4629">
              <w:rPr>
                <w:rFonts w:ascii="Arial" w:hAnsi="Arial" w:cs="Arial"/>
                <w:b/>
                <w:sz w:val="22"/>
                <w:szCs w:val="22"/>
              </w:rPr>
              <w:t>Clinical Supervisor(s) for the placement</w:t>
            </w:r>
          </w:p>
          <w:p w:rsidR="005B068D" w:rsidRPr="00684629" w:rsidRDefault="005B068D" w:rsidP="001D01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77" w:type="dxa"/>
            <w:shd w:val="clear" w:color="auto" w:fill="auto"/>
          </w:tcPr>
          <w:p w:rsidR="001D01B5" w:rsidRPr="00684629" w:rsidRDefault="008502F7" w:rsidP="001D01B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Jessani</w:t>
            </w:r>
            <w:r w:rsidR="00A6581F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A6581F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="00A6581F">
              <w:rPr>
                <w:rFonts w:ascii="Arial" w:hAnsi="Arial" w:cs="Arial"/>
                <w:sz w:val="22"/>
                <w:szCs w:val="22"/>
              </w:rPr>
              <w:t xml:space="preserve"> Evans</w:t>
            </w:r>
          </w:p>
          <w:p w:rsidR="001D01B5" w:rsidRPr="00684629" w:rsidRDefault="001D01B5" w:rsidP="001D01B5">
            <w:pPr>
              <w:jc w:val="both"/>
              <w:rPr>
                <w:rFonts w:ascii="Arial" w:hAnsi="Arial" w:cs="Arial"/>
              </w:rPr>
            </w:pPr>
          </w:p>
        </w:tc>
      </w:tr>
      <w:tr w:rsidR="001D01B5" w:rsidRPr="004F4EE0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Pr="00684629" w:rsidRDefault="001D01B5" w:rsidP="001D01B5">
            <w:pPr>
              <w:rPr>
                <w:rFonts w:ascii="Arial" w:hAnsi="Arial" w:cs="Arial"/>
                <w:b/>
              </w:rPr>
            </w:pPr>
            <w:r w:rsidRPr="00684629">
              <w:rPr>
                <w:rFonts w:ascii="Arial" w:hAnsi="Arial"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  <w:shd w:val="clear" w:color="auto" w:fill="auto"/>
          </w:tcPr>
          <w:p w:rsidR="009B259E" w:rsidRDefault="009B259E" w:rsidP="009B2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Ward Duties</w:t>
            </w:r>
            <w:r w:rsidRPr="00DF35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D721FA">
              <w:rPr>
                <w:rFonts w:ascii="Arial" w:hAnsi="Arial" w:cs="Arial"/>
                <w:sz w:val="22"/>
                <w:szCs w:val="22"/>
              </w:rPr>
              <w:t xml:space="preserve"> expected to deliver</w:t>
            </w:r>
            <w:r w:rsidRPr="00DF3584">
              <w:rPr>
                <w:rFonts w:ascii="Arial" w:hAnsi="Arial" w:cs="Arial"/>
                <w:sz w:val="22"/>
                <w:szCs w:val="22"/>
              </w:rPr>
              <w:t xml:space="preserve"> daily medical care of all the patients on the ward</w:t>
            </w:r>
            <w:r w:rsidR="00026F6D">
              <w:rPr>
                <w:rFonts w:ascii="Arial" w:hAnsi="Arial" w:cs="Arial"/>
                <w:sz w:val="22"/>
                <w:szCs w:val="22"/>
              </w:rPr>
              <w:t xml:space="preserve"> + effective handover.</w:t>
            </w:r>
          </w:p>
          <w:p w:rsidR="001D01B5" w:rsidRPr="00684629" w:rsidRDefault="009B259E" w:rsidP="009B25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Acute Medicine On calls- covering both wards and Clerking in EAU</w:t>
            </w:r>
          </w:p>
          <w:p w:rsidR="001D01B5" w:rsidRPr="00684629" w:rsidRDefault="001D01B5" w:rsidP="001D01B5">
            <w:pPr>
              <w:jc w:val="both"/>
              <w:rPr>
                <w:rFonts w:ascii="Arial" w:hAnsi="Arial" w:cs="Arial"/>
              </w:rPr>
            </w:pPr>
          </w:p>
        </w:tc>
      </w:tr>
      <w:tr w:rsidR="001D01B5" w:rsidRPr="004F4EE0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Default="001D01B5" w:rsidP="001D01B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Typical working pattern in this </w:t>
            </w: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placement</w:t>
            </w:r>
          </w:p>
        </w:tc>
        <w:tc>
          <w:tcPr>
            <w:tcW w:w="4177" w:type="dxa"/>
            <w:shd w:val="clear" w:color="auto" w:fill="auto"/>
          </w:tcPr>
          <w:p w:rsidR="003D0775" w:rsidRDefault="00B727E7" w:rsidP="001D0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Monday to Friday:</w:t>
            </w:r>
          </w:p>
          <w:p w:rsidR="003D0775" w:rsidRDefault="003D0775" w:rsidP="001D0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1B5" w:rsidRDefault="00FB5A14" w:rsidP="001D0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AM:</w:t>
            </w:r>
            <w:r w:rsidR="003D0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6F6D">
              <w:rPr>
                <w:rFonts w:ascii="Arial" w:hAnsi="Arial" w:cs="Arial"/>
                <w:sz w:val="22"/>
                <w:szCs w:val="22"/>
              </w:rPr>
              <w:t>Consultant ward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6F6D">
              <w:rPr>
                <w:rFonts w:ascii="Arial" w:hAnsi="Arial" w:cs="Arial"/>
                <w:sz w:val="22"/>
                <w:szCs w:val="22"/>
              </w:rPr>
              <w:t xml:space="preserve">round </w:t>
            </w:r>
            <w:r w:rsidR="00B727E7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27E7">
              <w:rPr>
                <w:rFonts w:ascii="Arial" w:hAnsi="Arial" w:cs="Arial"/>
                <w:sz w:val="22"/>
                <w:szCs w:val="22"/>
              </w:rPr>
              <w:t xml:space="preserve">Mainly newly admitted patient seen by the </w:t>
            </w:r>
            <w:proofErr w:type="spellStart"/>
            <w:r w:rsidR="00B727E7">
              <w:rPr>
                <w:rFonts w:ascii="Arial" w:hAnsi="Arial" w:cs="Arial"/>
                <w:sz w:val="22"/>
                <w:szCs w:val="22"/>
              </w:rPr>
              <w:t>oncall</w:t>
            </w:r>
            <w:proofErr w:type="spellEnd"/>
            <w:r w:rsidR="00B727E7">
              <w:rPr>
                <w:rFonts w:ascii="Arial" w:hAnsi="Arial" w:cs="Arial"/>
                <w:sz w:val="22"/>
                <w:szCs w:val="22"/>
              </w:rPr>
              <w:t xml:space="preserve"> team. From this Jobs are created and are done after ward round</w:t>
            </w:r>
          </w:p>
          <w:p w:rsidR="00B727E7" w:rsidRPr="00046563" w:rsidRDefault="00B727E7" w:rsidP="001D01B5">
            <w:pPr>
              <w:rPr>
                <w:rFonts w:ascii="Arial" w:hAnsi="Arial" w:cs="Arial"/>
              </w:rPr>
            </w:pPr>
          </w:p>
          <w:p w:rsidR="003D0775" w:rsidRDefault="009B259E" w:rsidP="001D0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PM-finish ward jobs. Checking bloods, TTA’s reviewing patients etc</w:t>
            </w:r>
            <w:r w:rsidR="001D01B5" w:rsidRPr="0004656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026F6D" w:rsidRDefault="00026F6D" w:rsidP="001D0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1B5" w:rsidRPr="00F909C5" w:rsidRDefault="001D01B5" w:rsidP="001D01B5">
            <w:pPr>
              <w:rPr>
                <w:rFonts w:ascii="Arial" w:hAnsi="Arial" w:cs="Arial"/>
              </w:rPr>
            </w:pPr>
            <w:r w:rsidRPr="00046563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3D0775" w:rsidRDefault="001D01B5" w:rsidP="003D0775">
            <w:pPr>
              <w:rPr>
                <w:rFonts w:ascii="Arial" w:hAnsi="Arial" w:cs="Arial"/>
                <w:sz w:val="22"/>
                <w:szCs w:val="22"/>
              </w:rPr>
            </w:pPr>
            <w:r w:rsidRPr="00046563">
              <w:rPr>
                <w:rFonts w:ascii="Arial" w:hAnsi="Arial" w:cs="Arial"/>
                <w:sz w:val="22"/>
                <w:szCs w:val="22"/>
              </w:rPr>
              <w:t>Tues:</w:t>
            </w:r>
            <w:r w:rsidR="009B25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0775">
              <w:rPr>
                <w:rFonts w:ascii="Arial" w:hAnsi="Arial" w:cs="Arial"/>
                <w:sz w:val="22"/>
                <w:szCs w:val="22"/>
              </w:rPr>
              <w:t xml:space="preserve">EAU teaching. </w:t>
            </w:r>
            <w:r w:rsidR="00BB5A19">
              <w:rPr>
                <w:rFonts w:ascii="Arial" w:hAnsi="Arial" w:cs="Arial"/>
                <w:sz w:val="22"/>
                <w:szCs w:val="22"/>
              </w:rPr>
              <w:t>Evolves</w:t>
            </w:r>
            <w:r w:rsidR="00B727E7">
              <w:rPr>
                <w:rFonts w:ascii="Arial" w:hAnsi="Arial" w:cs="Arial"/>
                <w:sz w:val="22"/>
                <w:szCs w:val="22"/>
              </w:rPr>
              <w:t xml:space="preserve"> presenting </w:t>
            </w:r>
            <w:r w:rsidR="00BB5A19">
              <w:rPr>
                <w:rFonts w:ascii="Arial" w:hAnsi="Arial" w:cs="Arial"/>
                <w:sz w:val="22"/>
                <w:szCs w:val="22"/>
              </w:rPr>
              <w:t>either a clinic case or interesting papers done by everyone.</w:t>
            </w:r>
            <w:r w:rsidR="003D07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0775" w:rsidRDefault="003D0775" w:rsidP="003D07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0775" w:rsidRDefault="003D0775" w:rsidP="009B25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Wed: </w:t>
            </w:r>
            <w:r w:rsidR="00BB5A19">
              <w:rPr>
                <w:rFonts w:ascii="Arial" w:hAnsi="Arial" w:cs="Arial"/>
                <w:sz w:val="22"/>
                <w:szCs w:val="22"/>
              </w:rPr>
              <w:t>FY1 teaching 12:30-:13:30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0775" w:rsidRDefault="003D0775" w:rsidP="009B259E">
            <w:pPr>
              <w:rPr>
                <w:rFonts w:ascii="Arial" w:hAnsi="Arial" w:cs="Arial"/>
                <w:sz w:val="22"/>
                <w:szCs w:val="22"/>
              </w:rPr>
            </w:pPr>
          </w:p>
          <w:p w:rsidR="009B259E" w:rsidRPr="00F909C5" w:rsidRDefault="003D0775" w:rsidP="009B25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Thu: </w:t>
            </w:r>
            <w:r w:rsidR="00BB5A19">
              <w:rPr>
                <w:rFonts w:ascii="Arial" w:hAnsi="Arial" w:cs="Arial"/>
                <w:sz w:val="22"/>
                <w:szCs w:val="22"/>
              </w:rPr>
              <w:t>FY1 teaching 12:30-13:30 or once a month 14:00-17:00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B259E" w:rsidRPr="00046563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1D01B5" w:rsidRPr="00F909C5" w:rsidRDefault="001D01B5" w:rsidP="001D01B5">
            <w:pPr>
              <w:rPr>
                <w:rFonts w:ascii="Arial" w:hAnsi="Arial" w:cs="Arial"/>
              </w:rPr>
            </w:pPr>
            <w:r w:rsidRPr="00046563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BB5A19" w:rsidRDefault="00BB5A19" w:rsidP="001D01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Oncall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D01B5" w:rsidRDefault="00BB5A19" w:rsidP="001D0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Sat and Sun:</w:t>
            </w:r>
            <w:r w:rsidR="001D01B5" w:rsidRPr="000465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6F6D">
              <w:rPr>
                <w:rFonts w:ascii="Arial" w:hAnsi="Arial" w:cs="Arial"/>
                <w:sz w:val="22"/>
                <w:szCs w:val="22"/>
              </w:rPr>
              <w:t>9:00-21: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BB5A19" w:rsidRDefault="00BB5A19" w:rsidP="001D01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Handover 9:00 and at 21:00</w:t>
            </w:r>
          </w:p>
          <w:p w:rsidR="001D01B5" w:rsidRPr="00F909C5" w:rsidRDefault="00BB5A19" w:rsidP="001D01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During the day either do ward cover (involves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covering the wards doing jobs such as reviewing patients, bloods, cannulas, prescribing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68D8">
              <w:rPr>
                <w:rFonts w:ascii="Arial" w:hAnsi="Arial" w:cs="Arial"/>
                <w:sz w:val="22"/>
                <w:szCs w:val="22"/>
              </w:rPr>
              <w:t xml:space="preserve">on </w:t>
            </w:r>
            <w:proofErr w:type="gramStart"/>
            <w:r w:rsidR="00B268D8">
              <w:rPr>
                <w:rFonts w:ascii="Arial" w:hAnsi="Arial" w:cs="Arial"/>
                <w:sz w:val="22"/>
                <w:szCs w:val="22"/>
              </w:rPr>
              <w:t xml:space="preserve">call 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clarking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new patients on the medical take.</w:t>
            </w:r>
          </w:p>
          <w:p w:rsidR="001D01B5" w:rsidRPr="00F909C5" w:rsidRDefault="001D01B5" w:rsidP="001D01B5">
            <w:pPr>
              <w:rPr>
                <w:rFonts w:ascii="Arial" w:hAnsi="Arial" w:cs="Arial"/>
              </w:rPr>
            </w:pPr>
          </w:p>
          <w:p w:rsidR="001D01B5" w:rsidRDefault="001D01B5" w:rsidP="001D01B5">
            <w:pPr>
              <w:rPr>
                <w:rFonts w:ascii="Arial" w:hAnsi="Arial" w:cs="Arial"/>
                <w:sz w:val="22"/>
                <w:szCs w:val="22"/>
              </w:rPr>
            </w:pPr>
            <w:r w:rsidRPr="00046563">
              <w:rPr>
                <w:rFonts w:ascii="Arial" w:hAnsi="Arial" w:cs="Arial"/>
                <w:i/>
                <w:sz w:val="22"/>
                <w:szCs w:val="22"/>
              </w:rPr>
              <w:t>On call requirements:</w:t>
            </w:r>
            <w:r w:rsidRPr="00F909C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B259E" w:rsidRDefault="00BB5A19" w:rsidP="00BB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Day: 1 week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-Fri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oncall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9:00-21:30</w:t>
            </w:r>
          </w:p>
          <w:p w:rsidR="00BB5A19" w:rsidRDefault="00BB5A19" w:rsidP="00BB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2 weekends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oncall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9:00-21:30</w:t>
            </w:r>
          </w:p>
          <w:p w:rsidR="00BB5A19" w:rsidRDefault="00BB5A19" w:rsidP="00BB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Night: 1 weekend Fri night-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morning 21:00-9:30</w:t>
            </w:r>
          </w:p>
          <w:p w:rsidR="00BB5A19" w:rsidRDefault="00BB5A19" w:rsidP="00BB5A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1 week Mon night –Fri morning 21:00-9:30</w:t>
            </w:r>
          </w:p>
          <w:p w:rsidR="00BB5A19" w:rsidRPr="00F909C5" w:rsidRDefault="00BB5A19" w:rsidP="00BB5A19">
            <w:pPr>
              <w:rPr>
                <w:rFonts w:ascii="Arial" w:hAnsi="Arial" w:cs="Arial"/>
              </w:rPr>
            </w:pPr>
          </w:p>
        </w:tc>
      </w:tr>
      <w:tr w:rsidR="001D01B5" w:rsidRPr="004F4EE0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Pr="00C70B03" w:rsidRDefault="001D01B5" w:rsidP="001D01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4177" w:type="dxa"/>
            <w:shd w:val="clear" w:color="auto" w:fill="auto"/>
          </w:tcPr>
          <w:p w:rsidR="00F86AA0" w:rsidRDefault="00F86AA0" w:rsidP="00F86AA0">
            <w:pPr>
              <w:pStyle w:val="Body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The employer for this post is Mid Essex Hospital Services Trust. </w:t>
            </w:r>
          </w:p>
          <w:p w:rsidR="00F86AA0" w:rsidRDefault="00F86AA0" w:rsidP="00F86AA0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F86AA0" w:rsidRDefault="00F86AA0" w:rsidP="00F86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post will be based in Broomfield Hospital, which is a medium sized acute NHS Trust and provides an extensive range of secondary services for the growing local community of approximately 350,000. About 15.34% of the population is over 65.   </w:t>
            </w:r>
          </w:p>
          <w:p w:rsidR="00F86AA0" w:rsidRDefault="00F86AA0" w:rsidP="00F86AA0">
            <w:pPr>
              <w:pStyle w:val="NormalWeb"/>
              <w:spacing w:after="0" w:afterAutospacing="0" w:line="24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Mid Essex Hospital Services NHS Trust provides acute hospital based services to a population of approximately 350,000 people living in and around the towns of Chelmsford, Maldon and Witham. Key services provided are:</w:t>
            </w:r>
          </w:p>
          <w:p w:rsidR="003D170D" w:rsidRDefault="003D170D" w:rsidP="00F86AA0">
            <w:pPr>
              <w:pStyle w:val="NormalWeb"/>
              <w:spacing w:after="0" w:afterAutospacing="0" w:line="240" w:lineRule="auto"/>
              <w:jc w:val="both"/>
              <w:rPr>
                <w:rFonts w:ascii="Arial" w:hAnsi="Arial" w:cs="Arial"/>
                <w:sz w:val="22"/>
              </w:rPr>
            </w:pPr>
          </w:p>
          <w:p w:rsidR="003D170D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Pharmacy </w:t>
            </w:r>
            <w:r>
              <w:rPr>
                <w:rFonts w:ascii="Arial" w:hAnsi="Arial" w:cs="Arial"/>
                <w:sz w:val="22"/>
                <w:lang w:val="en"/>
              </w:rPr>
              <w:tab/>
            </w:r>
            <w:r>
              <w:rPr>
                <w:rFonts w:ascii="Arial" w:hAnsi="Arial" w:cs="Arial"/>
                <w:sz w:val="22"/>
                <w:lang w:val="en"/>
              </w:rPr>
              <w:tab/>
            </w:r>
            <w:r>
              <w:rPr>
                <w:rFonts w:ascii="Arial" w:hAnsi="Arial" w:cs="Arial"/>
                <w:sz w:val="22"/>
                <w:lang w:val="en"/>
              </w:rPr>
              <w:tab/>
            </w:r>
          </w:p>
          <w:p w:rsidR="00F86AA0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Pathology </w:t>
            </w:r>
          </w:p>
          <w:p w:rsidR="00F86AA0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Radiology </w:t>
            </w:r>
          </w:p>
          <w:p w:rsidR="00F86AA0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Acute medicine </w:t>
            </w:r>
          </w:p>
          <w:p w:rsidR="00F86AA0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Intensive Care </w:t>
            </w:r>
          </w:p>
          <w:p w:rsidR="00F86AA0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Care of Elderly People and Therapy </w:t>
            </w:r>
          </w:p>
          <w:p w:rsidR="00F86AA0" w:rsidRDefault="007A093B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>Anesthesia</w:t>
            </w:r>
            <w:r w:rsidR="00F86AA0">
              <w:rPr>
                <w:rFonts w:ascii="Arial" w:hAnsi="Arial" w:cs="Arial"/>
                <w:sz w:val="22"/>
                <w:lang w:val="en"/>
              </w:rPr>
              <w:t xml:space="preserve"> and Pain </w:t>
            </w:r>
          </w:p>
          <w:p w:rsidR="00F86AA0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General Surgery </w:t>
            </w:r>
          </w:p>
          <w:p w:rsidR="00F86AA0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ENT and Oral Surgery </w:t>
            </w:r>
          </w:p>
          <w:p w:rsidR="00F86AA0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Ophthalmology </w:t>
            </w:r>
          </w:p>
          <w:p w:rsidR="00F86AA0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Orthopaedics </w:t>
            </w:r>
          </w:p>
          <w:p w:rsidR="00F86AA0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Children and Young People </w:t>
            </w:r>
          </w:p>
          <w:p w:rsidR="00F86AA0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Obstetrics and gynaecology </w:t>
            </w:r>
          </w:p>
          <w:p w:rsidR="00F86AA0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"/>
              </w:rPr>
              <w:t>Maternity</w:t>
            </w:r>
          </w:p>
          <w:p w:rsidR="00F86AA0" w:rsidRDefault="00F86AA0" w:rsidP="00F86AA0">
            <w:pPr>
              <w:pStyle w:val="NormalWeb"/>
              <w:spacing w:after="0" w:afterAutospacing="0"/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>The Trust is also home to the regional plastic surgery service which covers a population of approximately 3.2 million people and the regional burns services which targets a population of approximately 9.8 million.</w:t>
            </w:r>
          </w:p>
          <w:p w:rsidR="00F86AA0" w:rsidRDefault="00F86AA0" w:rsidP="00F86AA0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</w:p>
          <w:p w:rsidR="00F86AA0" w:rsidRDefault="00F86AA0" w:rsidP="00F86AA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lang w:val="en"/>
              </w:rPr>
            </w:pPr>
            <w:r>
              <w:rPr>
                <w:rFonts w:ascii="Arial" w:hAnsi="Arial" w:cs="Arial"/>
                <w:sz w:val="22"/>
                <w:lang w:val="en"/>
              </w:rPr>
              <w:t xml:space="preserve">As a major employer within the local area, Mid Essex Hospitals employs a workforce of nearly 4,000 people across all staff groups. The Trust offers excellent professional and personal opportunities - from working in the regional burns and plastics centre to being given the flexibility to develop new and exciting ways to improve patient care. </w:t>
            </w:r>
          </w:p>
          <w:p w:rsidR="001D01B5" w:rsidRPr="00F909C5" w:rsidRDefault="001D01B5" w:rsidP="001D01B5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1D01B5" w:rsidRPr="00F909C5" w:rsidRDefault="001D01B5" w:rsidP="001D01B5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1D01B5" w:rsidRDefault="001D01B5" w:rsidP="001D01B5">
      <w:pPr>
        <w:rPr>
          <w:rFonts w:ascii="Arial" w:hAnsi="Arial" w:cs="Arial"/>
          <w:sz w:val="22"/>
          <w:szCs w:val="22"/>
        </w:rPr>
      </w:pPr>
    </w:p>
    <w:p w:rsidR="001D01B5" w:rsidRPr="000127C0" w:rsidRDefault="001D01B5" w:rsidP="001D0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important to note that this description is a typical example of your placement and may be subject to change.</w:t>
      </w:r>
    </w:p>
    <w:sectPr w:rsidR="001D01B5" w:rsidRPr="000127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F82C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C7293"/>
    <w:multiLevelType w:val="hybridMultilevel"/>
    <w:tmpl w:val="7FEE464C"/>
    <w:lvl w:ilvl="0" w:tplc="2FB22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B5"/>
    <w:rsid w:val="00026F6D"/>
    <w:rsid w:val="00097665"/>
    <w:rsid w:val="001D01B5"/>
    <w:rsid w:val="002350CB"/>
    <w:rsid w:val="003109A7"/>
    <w:rsid w:val="00365BD1"/>
    <w:rsid w:val="003D0775"/>
    <w:rsid w:val="003D170D"/>
    <w:rsid w:val="00430554"/>
    <w:rsid w:val="004428C5"/>
    <w:rsid w:val="005B068D"/>
    <w:rsid w:val="00673366"/>
    <w:rsid w:val="00684629"/>
    <w:rsid w:val="006F6F39"/>
    <w:rsid w:val="00725C4C"/>
    <w:rsid w:val="00775ADE"/>
    <w:rsid w:val="00777DB9"/>
    <w:rsid w:val="007A093B"/>
    <w:rsid w:val="008502F7"/>
    <w:rsid w:val="008830D3"/>
    <w:rsid w:val="008A5049"/>
    <w:rsid w:val="00917ED7"/>
    <w:rsid w:val="009B259E"/>
    <w:rsid w:val="00A6581F"/>
    <w:rsid w:val="00AF0BD5"/>
    <w:rsid w:val="00B268D8"/>
    <w:rsid w:val="00B528D8"/>
    <w:rsid w:val="00B727E7"/>
    <w:rsid w:val="00BB5A19"/>
    <w:rsid w:val="00BD0401"/>
    <w:rsid w:val="00D46BCE"/>
    <w:rsid w:val="00D721FA"/>
    <w:rsid w:val="00DF169E"/>
    <w:rsid w:val="00E13A5F"/>
    <w:rsid w:val="00E50CDE"/>
    <w:rsid w:val="00ED6967"/>
    <w:rsid w:val="00F86AA0"/>
    <w:rsid w:val="00FB5A14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1B5"/>
    <w:rPr>
      <w:rFonts w:ascii="Cambria" w:hAnsi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01B5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locked/>
    <w:rsid w:val="001D01B5"/>
    <w:rPr>
      <w:sz w:val="22"/>
      <w:lang w:val="en-GB" w:eastAsia="en-US" w:bidi="ar-SA"/>
    </w:rPr>
  </w:style>
  <w:style w:type="paragraph" w:styleId="NormalWeb">
    <w:name w:val="Normal (Web)"/>
    <w:basedOn w:val="Normal"/>
    <w:rsid w:val="00F86AA0"/>
    <w:pP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1B5"/>
    <w:rPr>
      <w:rFonts w:ascii="Cambria" w:hAnsi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01B5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locked/>
    <w:rsid w:val="001D01B5"/>
    <w:rPr>
      <w:sz w:val="22"/>
      <w:lang w:val="en-GB" w:eastAsia="en-US" w:bidi="ar-SA"/>
    </w:rPr>
  </w:style>
  <w:style w:type="paragraph" w:styleId="NormalWeb">
    <w:name w:val="Normal (Web)"/>
    <w:basedOn w:val="Normal"/>
    <w:rsid w:val="00F86AA0"/>
    <w:pP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 – Individual placement description (Template)</vt:lpstr>
    </vt:vector>
  </TitlesOfParts>
  <Company>MEHT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 – Individual placement description (Template)</dc:title>
  <dc:creator>dhearn</dc:creator>
  <cp:lastModifiedBy>Loxton Nicole (RQ8) Mid Essex Hospital</cp:lastModifiedBy>
  <cp:revision>2</cp:revision>
  <cp:lastPrinted>2011-07-07T11:44:00Z</cp:lastPrinted>
  <dcterms:created xsi:type="dcterms:W3CDTF">2016-07-04T06:59:00Z</dcterms:created>
  <dcterms:modified xsi:type="dcterms:W3CDTF">2016-07-04T06:59:00Z</dcterms:modified>
</cp:coreProperties>
</file>