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B44D1" w14:textId="34B774AE" w:rsidR="007A4408" w:rsidRPr="001D7B79" w:rsidRDefault="00291493">
      <w:pPr>
        <w:rPr>
          <w:b/>
          <w:bCs/>
        </w:rPr>
      </w:pPr>
      <w:bookmarkStart w:id="0" w:name="_GoBack"/>
      <w:bookmarkEnd w:id="0"/>
      <w:r w:rsidRPr="001D7B79">
        <w:rPr>
          <w:b/>
          <w:bCs/>
        </w:rPr>
        <w:t xml:space="preserve">East of England School of Public </w:t>
      </w:r>
      <w:r w:rsidR="00836FC0">
        <w:rPr>
          <w:b/>
          <w:bCs/>
        </w:rPr>
        <w:t>H</w:t>
      </w:r>
      <w:r w:rsidRPr="001D7B79">
        <w:rPr>
          <w:b/>
          <w:bCs/>
        </w:rPr>
        <w:t>ealth</w:t>
      </w:r>
    </w:p>
    <w:p w14:paraId="1A1778F7" w14:textId="348A55FC" w:rsidR="00291493" w:rsidRPr="001D7B79" w:rsidRDefault="00291493">
      <w:pPr>
        <w:rPr>
          <w:b/>
          <w:bCs/>
        </w:rPr>
      </w:pPr>
      <w:r w:rsidRPr="001D7B79">
        <w:rPr>
          <w:b/>
          <w:bCs/>
        </w:rPr>
        <w:t>KA10 panel – guidance for panel members</w:t>
      </w:r>
    </w:p>
    <w:p w14:paraId="3A116270" w14:textId="79AE7A98" w:rsidR="00291493" w:rsidRPr="001D7B79" w:rsidRDefault="00291493">
      <w:pPr>
        <w:rPr>
          <w:b/>
          <w:bCs/>
        </w:rPr>
      </w:pPr>
      <w:r w:rsidRPr="001D7B79">
        <w:rPr>
          <w:b/>
          <w:bCs/>
        </w:rPr>
        <w:t>July 2021</w:t>
      </w:r>
    </w:p>
    <w:p w14:paraId="1C7E8552" w14:textId="35A20ABC" w:rsidR="00291493" w:rsidRDefault="00291493"/>
    <w:p w14:paraId="2482AF55" w14:textId="15334D4C" w:rsidR="00FA5430" w:rsidRPr="00FA5430" w:rsidRDefault="00FA5430">
      <w:pPr>
        <w:rPr>
          <w:b/>
          <w:bCs/>
        </w:rPr>
      </w:pPr>
      <w:r w:rsidRPr="00FA5430">
        <w:rPr>
          <w:b/>
          <w:bCs/>
        </w:rPr>
        <w:t>Approach</w:t>
      </w:r>
    </w:p>
    <w:p w14:paraId="6C292B0F" w14:textId="15D0BABF" w:rsidR="00FA5430" w:rsidRDefault="00FA5430">
      <w:r>
        <w:t>The panel may be seen as a precursor to the consultant appraisal process post-CCT and used as an opportunity to prepare the registrar for this and to have a “critical friend” style of supportive yet challenging conversation. The objectives for each registrar will be different and should be explored at the start of the panel.</w:t>
      </w:r>
    </w:p>
    <w:p w14:paraId="0398FEDE" w14:textId="77777777" w:rsidR="00836FC0" w:rsidRDefault="00836FC0"/>
    <w:p w14:paraId="1CD036C6" w14:textId="1F763715" w:rsidR="00836FC0" w:rsidRDefault="00836FC0">
      <w:r>
        <w:t>The panel outcome forms evidence for the ES to support their sign off of KA10 learning outcomes.</w:t>
      </w:r>
    </w:p>
    <w:p w14:paraId="152BEF75" w14:textId="77777777" w:rsidR="00836FC0" w:rsidRDefault="00836FC0"/>
    <w:p w14:paraId="0AB0EB9E" w14:textId="7EC801F6" w:rsidR="00FA5430" w:rsidRDefault="00FA5430">
      <w:r>
        <w:t>The KA10 panel is not consultant interview practice which should be arranged separately, by the registrar, if required or obtained as part of a leadership development course.</w:t>
      </w:r>
    </w:p>
    <w:p w14:paraId="146154F0" w14:textId="77777777" w:rsidR="00FA5430" w:rsidRDefault="00FA5430"/>
    <w:p w14:paraId="2DDB3A5F" w14:textId="674413A5" w:rsidR="00291493" w:rsidRPr="00291493" w:rsidRDefault="00291493">
      <w:pPr>
        <w:rPr>
          <w:b/>
          <w:bCs/>
        </w:rPr>
      </w:pPr>
      <w:r w:rsidRPr="00291493">
        <w:rPr>
          <w:b/>
          <w:bCs/>
        </w:rPr>
        <w:t>Preparation</w:t>
      </w:r>
    </w:p>
    <w:p w14:paraId="39B27EE7" w14:textId="196D66AE" w:rsidR="00291493" w:rsidRDefault="00291493" w:rsidP="00291493">
      <w:pPr>
        <w:pStyle w:val="ListParagraph"/>
        <w:numPr>
          <w:ilvl w:val="0"/>
          <w:numId w:val="1"/>
        </w:numPr>
      </w:pPr>
      <w:r>
        <w:t>You should receive the registrar</w:t>
      </w:r>
      <w:r w:rsidR="001D7B79">
        <w:t>’</w:t>
      </w:r>
      <w:r>
        <w:t>s reflective notes</w:t>
      </w:r>
      <w:r w:rsidR="00CD6CA9">
        <w:t>, MSF reflections</w:t>
      </w:r>
      <w:r>
        <w:t xml:space="preserve"> and the ES form in enough time to read before the panel</w:t>
      </w:r>
    </w:p>
    <w:p w14:paraId="6D96CAB4" w14:textId="2D3CC587" w:rsidR="00291493" w:rsidRDefault="00291493" w:rsidP="00291493">
      <w:pPr>
        <w:pStyle w:val="ListParagraph"/>
        <w:numPr>
          <w:ilvl w:val="0"/>
          <w:numId w:val="1"/>
        </w:numPr>
      </w:pPr>
      <w:r>
        <w:t>The ES form will include comments from CSs where these are necessary – this may be based on previous ARCPs or discussions or sought specifically for this panel</w:t>
      </w:r>
    </w:p>
    <w:p w14:paraId="0F729002" w14:textId="071CD28F" w:rsidR="00291493" w:rsidRDefault="00291493" w:rsidP="00291493">
      <w:pPr>
        <w:pStyle w:val="ListParagraph"/>
        <w:numPr>
          <w:ilvl w:val="0"/>
          <w:numId w:val="1"/>
        </w:numPr>
      </w:pPr>
      <w:r>
        <w:t>It is worth meeting as a panel for 1</w:t>
      </w:r>
      <w:r w:rsidR="001D7B79">
        <w:t>0</w:t>
      </w:r>
      <w:r>
        <w:t>-15 minutes before the registrar appears to agree areas identified that you would like to question</w:t>
      </w:r>
    </w:p>
    <w:p w14:paraId="2807D499" w14:textId="77777777" w:rsidR="00291493" w:rsidRDefault="00291493"/>
    <w:p w14:paraId="1BF55BE5" w14:textId="10DEEF03" w:rsidR="00291493" w:rsidRPr="00FA5430" w:rsidRDefault="00291493">
      <w:pPr>
        <w:rPr>
          <w:b/>
          <w:bCs/>
        </w:rPr>
      </w:pPr>
      <w:r w:rsidRPr="00FA5430">
        <w:rPr>
          <w:b/>
          <w:bCs/>
        </w:rPr>
        <w:t>Starting the panel</w:t>
      </w:r>
    </w:p>
    <w:p w14:paraId="5383F67E" w14:textId="65DA8ADA" w:rsidR="00291493" w:rsidRDefault="00FA5430" w:rsidP="00FA5430">
      <w:pPr>
        <w:pStyle w:val="ListParagraph"/>
        <w:numPr>
          <w:ilvl w:val="0"/>
          <w:numId w:val="2"/>
        </w:numPr>
      </w:pPr>
      <w:r>
        <w:t xml:space="preserve">Explain the consultant appraisal process and </w:t>
      </w:r>
      <w:r w:rsidR="00836FC0">
        <w:t xml:space="preserve">that </w:t>
      </w:r>
      <w:r>
        <w:t xml:space="preserve">the approach to be taken </w:t>
      </w:r>
      <w:r w:rsidR="001D7B79">
        <w:t>will be similar to this with the</w:t>
      </w:r>
      <w:r>
        <w:t xml:space="preserve"> panel acting as critical friend</w:t>
      </w:r>
    </w:p>
    <w:p w14:paraId="74C86C2F" w14:textId="5C98DF6F" w:rsidR="00FA5430" w:rsidRDefault="00FA5430" w:rsidP="00FA5430">
      <w:pPr>
        <w:pStyle w:val="ListParagraph"/>
        <w:numPr>
          <w:ilvl w:val="0"/>
          <w:numId w:val="2"/>
        </w:numPr>
      </w:pPr>
      <w:r>
        <w:t>Agree registrar-specific objectives and tailor the conversation accordingly. For example this may be a focus on</w:t>
      </w:r>
      <w:r w:rsidR="001D7B79">
        <w:t>:</w:t>
      </w:r>
    </w:p>
    <w:p w14:paraId="571153C6" w14:textId="2B4DCFD6" w:rsidR="00FA5430" w:rsidRDefault="00FA5430" w:rsidP="00FA5430">
      <w:pPr>
        <w:pStyle w:val="ListParagraph"/>
        <w:numPr>
          <w:ilvl w:val="1"/>
          <w:numId w:val="2"/>
        </w:numPr>
      </w:pPr>
      <w:r>
        <w:t>Consultant interview preparation – how to go about this</w:t>
      </w:r>
    </w:p>
    <w:p w14:paraId="632B1A89" w14:textId="5C8A0BFF" w:rsidR="00FA5430" w:rsidRDefault="00FA5430" w:rsidP="00FA5430">
      <w:pPr>
        <w:pStyle w:val="ListParagraph"/>
        <w:numPr>
          <w:ilvl w:val="1"/>
          <w:numId w:val="2"/>
        </w:numPr>
      </w:pPr>
      <w:r>
        <w:t>Gaps in learning outcomes to be filled</w:t>
      </w:r>
    </w:p>
    <w:p w14:paraId="36FB11E0" w14:textId="42CAE40F" w:rsidR="00FA5430" w:rsidRDefault="00FA5430" w:rsidP="00FA5430">
      <w:pPr>
        <w:pStyle w:val="ListParagraph"/>
        <w:numPr>
          <w:ilvl w:val="1"/>
          <w:numId w:val="2"/>
        </w:numPr>
      </w:pPr>
      <w:r>
        <w:t>Career aspirations and next steps</w:t>
      </w:r>
    </w:p>
    <w:p w14:paraId="7C9BF8AD" w14:textId="0C0DA743" w:rsidR="00FA5430" w:rsidRDefault="00FA5430" w:rsidP="00FA5430">
      <w:pPr>
        <w:pStyle w:val="ListParagraph"/>
        <w:numPr>
          <w:ilvl w:val="1"/>
          <w:numId w:val="2"/>
        </w:numPr>
      </w:pPr>
      <w:r>
        <w:t>Learning and approaches to ongoing CPD as a consultant</w:t>
      </w:r>
    </w:p>
    <w:p w14:paraId="1A477F5C" w14:textId="001B37EF" w:rsidR="00FA5430" w:rsidRDefault="00FA5430" w:rsidP="00FA5430">
      <w:pPr>
        <w:pStyle w:val="ListParagraph"/>
        <w:numPr>
          <w:ilvl w:val="1"/>
          <w:numId w:val="2"/>
        </w:numPr>
      </w:pPr>
      <w:r>
        <w:t>Placement choices in ST5</w:t>
      </w:r>
    </w:p>
    <w:p w14:paraId="2CEBE645" w14:textId="77777777" w:rsidR="00FA5430" w:rsidRDefault="00FA5430"/>
    <w:p w14:paraId="3854D364" w14:textId="2E8EED7F" w:rsidR="00291493" w:rsidRPr="001D7B79" w:rsidRDefault="00291493">
      <w:pPr>
        <w:rPr>
          <w:b/>
          <w:bCs/>
        </w:rPr>
      </w:pPr>
      <w:r w:rsidRPr="001D7B79">
        <w:rPr>
          <w:b/>
          <w:bCs/>
        </w:rPr>
        <w:t>During the panel</w:t>
      </w:r>
    </w:p>
    <w:p w14:paraId="3C39E6BF" w14:textId="40E515BD" w:rsidR="00291493" w:rsidRDefault="001D7B79" w:rsidP="001D7B79">
      <w:pPr>
        <w:pStyle w:val="ListParagraph"/>
        <w:numPr>
          <w:ilvl w:val="0"/>
          <w:numId w:val="3"/>
        </w:numPr>
      </w:pPr>
      <w:r>
        <w:t>A coaching style may be helpful, using open questions and seeking from the registrar their own solutions.</w:t>
      </w:r>
    </w:p>
    <w:p w14:paraId="2F7FC4CF" w14:textId="66521B87" w:rsidR="001D7B79" w:rsidRDefault="001D7B79" w:rsidP="001D7B79">
      <w:pPr>
        <w:pStyle w:val="ListParagraph"/>
        <w:numPr>
          <w:ilvl w:val="0"/>
          <w:numId w:val="3"/>
        </w:numPr>
      </w:pPr>
      <w:r>
        <w:t>Ask challenging but supportive questions</w:t>
      </w:r>
    </w:p>
    <w:p w14:paraId="76F70380" w14:textId="78B764B0" w:rsidR="001D7B79" w:rsidRDefault="001D7B79" w:rsidP="001D7B79">
      <w:pPr>
        <w:pStyle w:val="ListParagraph"/>
        <w:numPr>
          <w:ilvl w:val="0"/>
          <w:numId w:val="3"/>
        </w:numPr>
      </w:pPr>
      <w:r>
        <w:t>Retain a focus on the registrar’s identified outcomes</w:t>
      </w:r>
    </w:p>
    <w:p w14:paraId="48EF0801" w14:textId="77777777" w:rsidR="001D7B79" w:rsidRDefault="001D7B79"/>
    <w:p w14:paraId="41E77EAF" w14:textId="0E1CEF69" w:rsidR="00291493" w:rsidRPr="001D7B79" w:rsidRDefault="00291493">
      <w:pPr>
        <w:rPr>
          <w:b/>
          <w:bCs/>
        </w:rPr>
      </w:pPr>
      <w:r w:rsidRPr="001D7B79">
        <w:rPr>
          <w:b/>
          <w:bCs/>
        </w:rPr>
        <w:t>At the end of the panel</w:t>
      </w:r>
    </w:p>
    <w:p w14:paraId="07195A27" w14:textId="3CE4B882" w:rsidR="00291493" w:rsidRDefault="001D7B79" w:rsidP="001D7B79">
      <w:pPr>
        <w:pStyle w:val="ListParagraph"/>
        <w:numPr>
          <w:ilvl w:val="0"/>
          <w:numId w:val="3"/>
        </w:numPr>
      </w:pPr>
      <w:r>
        <w:t>Ask the registrar to summarise the actions they will take following the discussion and ask them to email these to at least one of the panel members</w:t>
      </w:r>
    </w:p>
    <w:p w14:paraId="5AB1713C" w14:textId="2806B5C8" w:rsidR="001D7B79" w:rsidRDefault="001D7B79" w:rsidP="001D7B79">
      <w:pPr>
        <w:pStyle w:val="ListParagraph"/>
        <w:numPr>
          <w:ilvl w:val="0"/>
          <w:numId w:val="3"/>
        </w:numPr>
      </w:pPr>
      <w:r>
        <w:t>The panel should summarise an outcome in a few sentences (think of it like the summary of a consultant appraisal session)</w:t>
      </w:r>
    </w:p>
    <w:p w14:paraId="323E005D" w14:textId="77777777" w:rsidR="001D7B79" w:rsidRDefault="001D7B79"/>
    <w:p w14:paraId="20D82062" w14:textId="2E9EA6A7" w:rsidR="00291493" w:rsidRPr="001D7B79" w:rsidRDefault="00291493">
      <w:pPr>
        <w:rPr>
          <w:b/>
          <w:bCs/>
        </w:rPr>
      </w:pPr>
      <w:r w:rsidRPr="001D7B79">
        <w:rPr>
          <w:b/>
          <w:bCs/>
        </w:rPr>
        <w:t>Follow up</w:t>
      </w:r>
    </w:p>
    <w:p w14:paraId="176C321B" w14:textId="5E2C8122" w:rsidR="001D7B79" w:rsidRDefault="001D7B79" w:rsidP="001D7B79">
      <w:pPr>
        <w:pStyle w:val="ListParagraph"/>
        <w:numPr>
          <w:ilvl w:val="0"/>
          <w:numId w:val="4"/>
        </w:numPr>
      </w:pPr>
      <w:r>
        <w:t>Registrar emails action list to panel members (see appx for potential template)</w:t>
      </w:r>
    </w:p>
    <w:p w14:paraId="3708FD4A" w14:textId="1AAD0E20" w:rsidR="001D7B79" w:rsidRDefault="001D7B79" w:rsidP="001D7B79">
      <w:pPr>
        <w:pStyle w:val="ListParagraph"/>
        <w:numPr>
          <w:ilvl w:val="0"/>
          <w:numId w:val="4"/>
        </w:numPr>
      </w:pPr>
      <w:r>
        <w:t>Panel adds the agreed summary and emails to PHSchool</w:t>
      </w:r>
    </w:p>
    <w:p w14:paraId="7C0393C0" w14:textId="6C62DE06" w:rsidR="001D7B79" w:rsidRDefault="001D7B79" w:rsidP="001D7B79">
      <w:pPr>
        <w:pStyle w:val="ListParagraph"/>
        <w:numPr>
          <w:ilvl w:val="0"/>
          <w:numId w:val="4"/>
        </w:numPr>
      </w:pPr>
      <w:r>
        <w:t>PHSchool email completed panel outcome to registrar and their ES</w:t>
      </w:r>
    </w:p>
    <w:p w14:paraId="27EC82DE" w14:textId="786F75DC" w:rsidR="001D7B79" w:rsidRDefault="001D7B79" w:rsidP="001D7B79">
      <w:pPr>
        <w:pStyle w:val="ListParagraph"/>
        <w:numPr>
          <w:ilvl w:val="0"/>
          <w:numId w:val="4"/>
        </w:numPr>
      </w:pPr>
      <w:r>
        <w:t>PHSchool sends registrar a short evaluation for feedback via quality processes</w:t>
      </w:r>
    </w:p>
    <w:p w14:paraId="3E491917" w14:textId="77777777" w:rsidR="001D7B79" w:rsidRDefault="001D7B79" w:rsidP="001D7B79">
      <w:pPr>
        <w:sectPr w:rsidR="001D7B7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36B8B1C" w14:textId="7AF6512A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lastRenderedPageBreak/>
        <w:t xml:space="preserve">East of England School of Public </w:t>
      </w:r>
      <w:r>
        <w:rPr>
          <w:b/>
          <w:bCs/>
        </w:rPr>
        <w:t>H</w:t>
      </w:r>
      <w:r w:rsidRPr="001D7B79">
        <w:rPr>
          <w:b/>
          <w:bCs/>
        </w:rPr>
        <w:t>ealth</w:t>
      </w:r>
    </w:p>
    <w:p w14:paraId="7FC4AB60" w14:textId="682EE9D9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KA10 panel –</w:t>
      </w:r>
      <w:r>
        <w:rPr>
          <w:b/>
          <w:bCs/>
        </w:rPr>
        <w:t xml:space="preserve"> example</w:t>
      </w:r>
      <w:r w:rsidRPr="001D7B79">
        <w:rPr>
          <w:b/>
          <w:bCs/>
        </w:rPr>
        <w:t xml:space="preserve"> </w:t>
      </w:r>
      <w:r>
        <w:rPr>
          <w:b/>
          <w:bCs/>
        </w:rPr>
        <w:t>outcome template</w:t>
      </w:r>
    </w:p>
    <w:p w14:paraId="36EF8BF8" w14:textId="77777777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July 2021</w:t>
      </w:r>
    </w:p>
    <w:p w14:paraId="61A85A60" w14:textId="6ACE27C9" w:rsidR="001D7B79" w:rsidRDefault="001D7B79" w:rsidP="001D7B7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D7B79" w14:paraId="4AFA72EA" w14:textId="77777777" w:rsidTr="001D7B79">
        <w:tc>
          <w:tcPr>
            <w:tcW w:w="2405" w:type="dxa"/>
          </w:tcPr>
          <w:p w14:paraId="0255031D" w14:textId="734745AF" w:rsidR="001D7B79" w:rsidRPr="001D7B79" w:rsidRDefault="001D7B79" w:rsidP="001D7B79">
            <w:pPr>
              <w:rPr>
                <w:b/>
                <w:bCs/>
              </w:rPr>
            </w:pPr>
            <w:r w:rsidRPr="001D7B79">
              <w:rPr>
                <w:b/>
                <w:bCs/>
              </w:rPr>
              <w:t>Date</w:t>
            </w:r>
          </w:p>
        </w:tc>
        <w:tc>
          <w:tcPr>
            <w:tcW w:w="6611" w:type="dxa"/>
          </w:tcPr>
          <w:p w14:paraId="1265159A" w14:textId="77777777" w:rsidR="001D7B79" w:rsidRDefault="001D7B79" w:rsidP="001D7B79"/>
        </w:tc>
      </w:tr>
      <w:tr w:rsidR="001D7B79" w14:paraId="1BD67E88" w14:textId="77777777" w:rsidTr="001D7B79">
        <w:tc>
          <w:tcPr>
            <w:tcW w:w="2405" w:type="dxa"/>
          </w:tcPr>
          <w:p w14:paraId="05174DCF" w14:textId="1BC0F70C" w:rsidR="001D7B79" w:rsidRPr="001D7B79" w:rsidRDefault="001D7B79" w:rsidP="001D7B79">
            <w:pPr>
              <w:rPr>
                <w:b/>
                <w:bCs/>
              </w:rPr>
            </w:pPr>
            <w:r w:rsidRPr="001D7B79">
              <w:rPr>
                <w:b/>
                <w:bCs/>
              </w:rPr>
              <w:t>Registrar</w:t>
            </w:r>
          </w:p>
        </w:tc>
        <w:tc>
          <w:tcPr>
            <w:tcW w:w="6611" w:type="dxa"/>
          </w:tcPr>
          <w:p w14:paraId="6A10A6A9" w14:textId="77777777" w:rsidR="001D7B79" w:rsidRDefault="001D7B79" w:rsidP="001D7B79"/>
        </w:tc>
      </w:tr>
      <w:tr w:rsidR="001D7B79" w14:paraId="6C1B36ED" w14:textId="77777777" w:rsidTr="001D7B79">
        <w:tc>
          <w:tcPr>
            <w:tcW w:w="2405" w:type="dxa"/>
          </w:tcPr>
          <w:p w14:paraId="7234EDC8" w14:textId="6D501176" w:rsidR="001D7B79" w:rsidRPr="001D7B79" w:rsidRDefault="001D7B79" w:rsidP="001D7B79">
            <w:pPr>
              <w:rPr>
                <w:b/>
                <w:bCs/>
              </w:rPr>
            </w:pPr>
            <w:r>
              <w:rPr>
                <w:b/>
                <w:bCs/>
              </w:rPr>
              <w:t>Educational supervisor</w:t>
            </w:r>
          </w:p>
        </w:tc>
        <w:tc>
          <w:tcPr>
            <w:tcW w:w="6611" w:type="dxa"/>
          </w:tcPr>
          <w:p w14:paraId="739311B5" w14:textId="77777777" w:rsidR="001D7B79" w:rsidRDefault="001D7B79" w:rsidP="001D7B79"/>
        </w:tc>
      </w:tr>
      <w:tr w:rsidR="001D7B79" w14:paraId="65364CB1" w14:textId="77777777" w:rsidTr="001D7B79">
        <w:tc>
          <w:tcPr>
            <w:tcW w:w="2405" w:type="dxa"/>
          </w:tcPr>
          <w:p w14:paraId="0EC0F8C8" w14:textId="0C6D387B" w:rsidR="001D7B79" w:rsidRPr="001D7B79" w:rsidRDefault="001D7B79" w:rsidP="001D7B79">
            <w:pPr>
              <w:rPr>
                <w:b/>
                <w:bCs/>
              </w:rPr>
            </w:pPr>
            <w:r w:rsidRPr="001D7B79">
              <w:rPr>
                <w:b/>
                <w:bCs/>
              </w:rPr>
              <w:t>Panel members</w:t>
            </w:r>
          </w:p>
        </w:tc>
        <w:tc>
          <w:tcPr>
            <w:tcW w:w="6611" w:type="dxa"/>
          </w:tcPr>
          <w:p w14:paraId="1C14CE2D" w14:textId="77777777" w:rsidR="001D7B79" w:rsidRDefault="001D7B79" w:rsidP="001D7B79"/>
        </w:tc>
      </w:tr>
    </w:tbl>
    <w:p w14:paraId="01D930D3" w14:textId="1E459A98" w:rsidR="001D7B79" w:rsidRDefault="001D7B79" w:rsidP="001D7B79"/>
    <w:p w14:paraId="6F488040" w14:textId="016EC297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REGISTRAR TO COMPLETE</w:t>
      </w:r>
    </w:p>
    <w:p w14:paraId="112BBC80" w14:textId="2463AE18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Actions agreed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1D7B79" w:rsidRPr="001D7B79" w14:paraId="1D64BF0E" w14:textId="77777777" w:rsidTr="001D7B79">
        <w:tc>
          <w:tcPr>
            <w:tcW w:w="7508" w:type="dxa"/>
          </w:tcPr>
          <w:p w14:paraId="1CC08A8A" w14:textId="1DDC1CAE" w:rsidR="001D7B79" w:rsidRPr="001D7B79" w:rsidRDefault="001D7B79" w:rsidP="001D7B79">
            <w:pPr>
              <w:rPr>
                <w:b/>
                <w:bCs/>
              </w:rPr>
            </w:pPr>
            <w:r w:rsidRPr="001D7B79">
              <w:rPr>
                <w:b/>
                <w:bCs/>
              </w:rPr>
              <w:t>Action</w:t>
            </w:r>
          </w:p>
        </w:tc>
        <w:tc>
          <w:tcPr>
            <w:tcW w:w="1508" w:type="dxa"/>
          </w:tcPr>
          <w:p w14:paraId="218F9C1D" w14:textId="13D74C22" w:rsidR="001D7B79" w:rsidRPr="001D7B79" w:rsidRDefault="001D7B79" w:rsidP="001D7B79">
            <w:pPr>
              <w:rPr>
                <w:b/>
                <w:bCs/>
              </w:rPr>
            </w:pPr>
            <w:r w:rsidRPr="001D7B79">
              <w:rPr>
                <w:b/>
                <w:bCs/>
              </w:rPr>
              <w:t>Timescale</w:t>
            </w:r>
          </w:p>
        </w:tc>
      </w:tr>
      <w:tr w:rsidR="001D7B79" w14:paraId="1D659EB9" w14:textId="77777777" w:rsidTr="001D7B79">
        <w:tc>
          <w:tcPr>
            <w:tcW w:w="7508" w:type="dxa"/>
          </w:tcPr>
          <w:p w14:paraId="3D02509B" w14:textId="77777777" w:rsidR="001D7B79" w:rsidRDefault="001D7B79" w:rsidP="001D7B79"/>
        </w:tc>
        <w:tc>
          <w:tcPr>
            <w:tcW w:w="1508" w:type="dxa"/>
          </w:tcPr>
          <w:p w14:paraId="1CDB1FF4" w14:textId="77777777" w:rsidR="001D7B79" w:rsidRDefault="001D7B79" w:rsidP="001D7B79"/>
        </w:tc>
      </w:tr>
      <w:tr w:rsidR="001D7B79" w14:paraId="0F58FF10" w14:textId="77777777" w:rsidTr="001D7B79">
        <w:tc>
          <w:tcPr>
            <w:tcW w:w="7508" w:type="dxa"/>
          </w:tcPr>
          <w:p w14:paraId="5E86D2D5" w14:textId="77777777" w:rsidR="001D7B79" w:rsidRDefault="001D7B79" w:rsidP="001D7B79"/>
        </w:tc>
        <w:tc>
          <w:tcPr>
            <w:tcW w:w="1508" w:type="dxa"/>
          </w:tcPr>
          <w:p w14:paraId="755314FC" w14:textId="77777777" w:rsidR="001D7B79" w:rsidRDefault="001D7B79" w:rsidP="001D7B79"/>
        </w:tc>
      </w:tr>
      <w:tr w:rsidR="001D7B79" w14:paraId="03EA74B9" w14:textId="77777777" w:rsidTr="001D7B79">
        <w:tc>
          <w:tcPr>
            <w:tcW w:w="7508" w:type="dxa"/>
          </w:tcPr>
          <w:p w14:paraId="643DB17F" w14:textId="77777777" w:rsidR="001D7B79" w:rsidRDefault="001D7B79" w:rsidP="001D7B79"/>
        </w:tc>
        <w:tc>
          <w:tcPr>
            <w:tcW w:w="1508" w:type="dxa"/>
          </w:tcPr>
          <w:p w14:paraId="2DCF472E" w14:textId="77777777" w:rsidR="001D7B79" w:rsidRDefault="001D7B79" w:rsidP="001D7B79"/>
        </w:tc>
      </w:tr>
    </w:tbl>
    <w:p w14:paraId="1F1A83D8" w14:textId="45906C9F" w:rsidR="001D7B79" w:rsidRDefault="001D7B79" w:rsidP="001D7B79"/>
    <w:p w14:paraId="50A3F969" w14:textId="3DA40F54" w:rsidR="001D7B79" w:rsidRPr="001D7B79" w:rsidRDefault="001D7B79" w:rsidP="001D7B79">
      <w:pPr>
        <w:rPr>
          <w:b/>
          <w:bCs/>
        </w:rPr>
      </w:pPr>
    </w:p>
    <w:p w14:paraId="59ECEFB7" w14:textId="44E14987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PANEL TO COMPLETE</w:t>
      </w:r>
    </w:p>
    <w:p w14:paraId="11CE916B" w14:textId="4B271569" w:rsidR="001D7B79" w:rsidRPr="001D7B79" w:rsidRDefault="001D7B79" w:rsidP="001D7B79">
      <w:pPr>
        <w:rPr>
          <w:b/>
          <w:bCs/>
        </w:rPr>
      </w:pPr>
      <w:r w:rsidRPr="001D7B79">
        <w:rPr>
          <w:b/>
          <w:bCs/>
        </w:rPr>
        <w:t>KA10 summary of panel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D7B79" w14:paraId="0DB41CB4" w14:textId="77777777" w:rsidTr="001D7B79">
        <w:tc>
          <w:tcPr>
            <w:tcW w:w="9016" w:type="dxa"/>
          </w:tcPr>
          <w:p w14:paraId="2967C9C4" w14:textId="77777777" w:rsidR="001D7B79" w:rsidRDefault="001D7B79" w:rsidP="001D7B79"/>
        </w:tc>
      </w:tr>
    </w:tbl>
    <w:p w14:paraId="356D47EB" w14:textId="77777777" w:rsidR="001D7B79" w:rsidRDefault="001D7B79" w:rsidP="001D7B79"/>
    <w:sectPr w:rsidR="001D7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120F"/>
    <w:multiLevelType w:val="hybridMultilevel"/>
    <w:tmpl w:val="117E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A024C"/>
    <w:multiLevelType w:val="hybridMultilevel"/>
    <w:tmpl w:val="B6288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A093B"/>
    <w:multiLevelType w:val="hybridMultilevel"/>
    <w:tmpl w:val="7EA27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C6A1F"/>
    <w:multiLevelType w:val="hybridMultilevel"/>
    <w:tmpl w:val="0F4C4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93"/>
    <w:rsid w:val="001D7B79"/>
    <w:rsid w:val="00291493"/>
    <w:rsid w:val="005514E6"/>
    <w:rsid w:val="007A4408"/>
    <w:rsid w:val="00836FC0"/>
    <w:rsid w:val="00CD6CA9"/>
    <w:rsid w:val="00F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BC5EE"/>
  <w15:chartTrackingRefBased/>
  <w15:docId w15:val="{09380E42-04AD-4A99-A740-60151CD6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93"/>
    <w:pPr>
      <w:ind w:left="720"/>
      <w:contextualSpacing/>
    </w:pPr>
  </w:style>
  <w:style w:type="table" w:styleId="TableGrid">
    <w:name w:val="Table Grid"/>
    <w:basedOn w:val="TableNormal"/>
    <w:uiPriority w:val="39"/>
    <w:rsid w:val="001D7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Yates</dc:creator>
  <cp:keywords/>
  <dc:description/>
  <cp:lastModifiedBy>Kirsteen Watson</cp:lastModifiedBy>
  <cp:revision>2</cp:revision>
  <dcterms:created xsi:type="dcterms:W3CDTF">2021-08-05T08:22:00Z</dcterms:created>
  <dcterms:modified xsi:type="dcterms:W3CDTF">2021-08-05T08:22:00Z</dcterms:modified>
</cp:coreProperties>
</file>