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1E7" w:rsidRDefault="00A141E7" w:rsidP="00A141E7">
      <w:pPr>
        <w:pStyle w:val="BodyText"/>
        <w:ind w:left="4610"/>
        <w:rPr>
          <w:rFonts w:ascii="Times New Roman"/>
          <w:sz w:val="20"/>
        </w:rPr>
      </w:pPr>
      <w:r>
        <w:rPr>
          <w:noProof/>
          <w:sz w:val="40"/>
          <w:szCs w:val="40"/>
        </w:rPr>
        <w:drawing>
          <wp:anchor distT="0" distB="0" distL="114300" distR="114300" simplePos="0" relativeHeight="251659264" behindDoc="0" locked="0" layoutInCell="1" allowOverlap="1" wp14:anchorId="1CA1C211" wp14:editId="049EBD8D">
            <wp:simplePos x="0" y="0"/>
            <wp:positionH relativeFrom="page">
              <wp:posOffset>4768850</wp:posOffset>
            </wp:positionH>
            <wp:positionV relativeFrom="paragraph">
              <wp:posOffset>-593725</wp:posOffset>
            </wp:positionV>
            <wp:extent cx="2839085" cy="695325"/>
            <wp:effectExtent l="0" t="0" r="0" b="9525"/>
            <wp:wrapNone/>
            <wp:docPr id="57" name="Picture 2"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15975" b="21786"/>
                    <a:stretch/>
                  </pic:blipFill>
                  <pic:spPr bwMode="auto">
                    <a:xfrm>
                      <a:off x="0" y="0"/>
                      <a:ext cx="283908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41E7" w:rsidRDefault="00A141E7" w:rsidP="00A141E7">
      <w:pPr>
        <w:pStyle w:val="BodyText"/>
        <w:rPr>
          <w:rFonts w:ascii="Times New Roman"/>
          <w:sz w:val="20"/>
        </w:rPr>
      </w:pPr>
    </w:p>
    <w:p w:rsidR="00A141E7" w:rsidRPr="00A25FF4" w:rsidRDefault="00A141E7" w:rsidP="00A141E7">
      <w:pPr>
        <w:keepNext/>
        <w:keepLines/>
        <w:widowControl/>
        <w:autoSpaceDE/>
        <w:autoSpaceDN/>
        <w:spacing w:before="120" w:line="259" w:lineRule="auto"/>
        <w:jc w:val="center"/>
        <w:outlineLvl w:val="0"/>
        <w:rPr>
          <w:rFonts w:ascii="Calibri Light" w:eastAsia="Times New Roman" w:hAnsi="Calibri Light" w:cs="Times New Roman"/>
          <w:b/>
          <w:bCs/>
          <w:color w:val="2E74B5"/>
          <w:sz w:val="32"/>
          <w:szCs w:val="32"/>
          <w:lang w:eastAsia="en-US" w:bidi="ar-SA"/>
        </w:rPr>
      </w:pPr>
      <w:r w:rsidRPr="00A25FF4">
        <w:rPr>
          <w:rFonts w:ascii="Calibri Light" w:eastAsia="Times New Roman" w:hAnsi="Calibri Light" w:cs="Times New Roman"/>
          <w:b/>
          <w:bCs/>
          <w:color w:val="2E74B5"/>
          <w:sz w:val="32"/>
          <w:szCs w:val="32"/>
          <w:lang w:eastAsia="en-US" w:bidi="ar-SA"/>
        </w:rPr>
        <w:t>EoE Public Health Training Programme</w:t>
      </w:r>
    </w:p>
    <w:p w:rsidR="00A141E7" w:rsidRPr="00A25FF4" w:rsidRDefault="00A141E7" w:rsidP="00A141E7">
      <w:pPr>
        <w:keepNext/>
        <w:keepLines/>
        <w:widowControl/>
        <w:autoSpaceDE/>
        <w:autoSpaceDN/>
        <w:spacing w:before="120" w:line="259" w:lineRule="auto"/>
        <w:jc w:val="center"/>
        <w:outlineLvl w:val="0"/>
        <w:rPr>
          <w:rFonts w:ascii="Calibri Light" w:eastAsia="Times New Roman" w:hAnsi="Calibri Light" w:cs="Times New Roman"/>
          <w:b/>
          <w:bCs/>
          <w:color w:val="2E74B5"/>
          <w:sz w:val="32"/>
          <w:szCs w:val="32"/>
          <w:lang w:eastAsia="en-US" w:bidi="ar-SA"/>
        </w:rPr>
      </w:pPr>
      <w:r>
        <w:rPr>
          <w:rFonts w:ascii="Calibri Light" w:eastAsia="Times New Roman" w:hAnsi="Calibri Light" w:cs="Times New Roman"/>
          <w:b/>
          <w:bCs/>
          <w:color w:val="2E74B5"/>
          <w:sz w:val="32"/>
          <w:szCs w:val="32"/>
          <w:lang w:eastAsia="en-US" w:bidi="ar-SA"/>
        </w:rPr>
        <w:t>Health Protection</w:t>
      </w:r>
      <w:r w:rsidRPr="00A25FF4">
        <w:rPr>
          <w:rFonts w:ascii="Calibri Light" w:eastAsia="Times New Roman" w:hAnsi="Calibri Light" w:cs="Times New Roman"/>
          <w:b/>
          <w:bCs/>
          <w:color w:val="2E74B5"/>
          <w:sz w:val="32"/>
          <w:szCs w:val="32"/>
          <w:lang w:eastAsia="en-US" w:bidi="ar-SA"/>
        </w:rPr>
        <w:t xml:space="preserve"> Policy – v. </w:t>
      </w:r>
      <w:r>
        <w:rPr>
          <w:rFonts w:ascii="Calibri Light" w:eastAsia="Times New Roman" w:hAnsi="Calibri Light" w:cs="Times New Roman"/>
          <w:b/>
          <w:bCs/>
          <w:color w:val="2E74B5"/>
          <w:sz w:val="32"/>
          <w:szCs w:val="32"/>
          <w:lang w:eastAsia="en-US" w:bidi="ar-SA"/>
        </w:rPr>
        <w:t>2.4</w:t>
      </w:r>
      <w:r w:rsidRPr="00A25FF4">
        <w:rPr>
          <w:rFonts w:ascii="Calibri Light" w:eastAsia="Times New Roman" w:hAnsi="Calibri Light" w:cs="Times New Roman"/>
          <w:b/>
          <w:bCs/>
          <w:color w:val="2E74B5"/>
          <w:sz w:val="32"/>
          <w:szCs w:val="32"/>
          <w:lang w:eastAsia="en-US" w:bidi="ar-SA"/>
        </w:rPr>
        <w:t xml:space="preserve"> (July 2022)</w:t>
      </w:r>
    </w:p>
    <w:p w:rsidR="00A141E7" w:rsidRDefault="00A141E7" w:rsidP="00A141E7">
      <w:pPr>
        <w:spacing w:line="248" w:lineRule="exact"/>
      </w:pPr>
    </w:p>
    <w:sdt>
      <w:sdtPr>
        <w:rPr>
          <w:rFonts w:ascii="Arial" w:eastAsia="Arial" w:hAnsi="Arial" w:cs="Arial"/>
          <w:color w:val="auto"/>
          <w:sz w:val="22"/>
          <w:szCs w:val="22"/>
          <w:lang w:val="en-GB" w:eastAsia="en-GB" w:bidi="en-GB"/>
        </w:rPr>
        <w:id w:val="-200933034"/>
        <w:docPartObj>
          <w:docPartGallery w:val="Table of Contents"/>
          <w:docPartUnique/>
        </w:docPartObj>
      </w:sdtPr>
      <w:sdtEndPr>
        <w:rPr>
          <w:b/>
          <w:bCs/>
          <w:noProof/>
        </w:rPr>
      </w:sdtEndPr>
      <w:sdtContent>
        <w:p w:rsidR="00A141E7" w:rsidRDefault="00A141E7" w:rsidP="00A141E7">
          <w:pPr>
            <w:pStyle w:val="TOCHeading"/>
          </w:pPr>
          <w:r>
            <w:t>Contents</w:t>
          </w:r>
        </w:p>
        <w:p w:rsidR="00A141E7" w:rsidRPr="00A25FF4" w:rsidRDefault="00A141E7" w:rsidP="00A141E7">
          <w:pPr>
            <w:pStyle w:val="TOC1"/>
            <w:tabs>
              <w:tab w:val="left" w:pos="440"/>
              <w:tab w:val="right" w:leader="dot" w:pos="10260"/>
            </w:tabs>
            <w:rPr>
              <w:rFonts w:asciiTheme="minorHAnsi" w:eastAsiaTheme="minorEastAsia" w:hAnsiTheme="minorHAnsi" w:cstheme="minorHAnsi"/>
              <w:b w:val="0"/>
              <w:bCs w:val="0"/>
              <w:caps w:val="0"/>
              <w:noProof/>
              <w:sz w:val="22"/>
              <w:szCs w:val="22"/>
              <w:lang w:bidi="ar-SA"/>
            </w:rPr>
          </w:pPr>
          <w:r>
            <w:fldChar w:fldCharType="begin"/>
          </w:r>
          <w:r w:rsidRPr="008D58D2">
            <w:instrText xml:space="preserve"> TOC \o "1-3" \h \z \u </w:instrText>
          </w:r>
          <w:r>
            <w:fldChar w:fldCharType="separate"/>
          </w:r>
          <w:hyperlink w:anchor="_Toc103714910" w:history="1">
            <w:r w:rsidRPr="00A25FF4">
              <w:rPr>
                <w:rStyle w:val="Hyperlink"/>
                <w:rFonts w:asciiTheme="minorHAnsi" w:hAnsiTheme="minorHAnsi" w:cstheme="minorHAnsi"/>
                <w:noProof/>
              </w:rPr>
              <w:t>1.</w:t>
            </w:r>
            <w:r w:rsidRPr="00A25FF4">
              <w:rPr>
                <w:rFonts w:asciiTheme="minorHAnsi" w:eastAsiaTheme="minorEastAsia" w:hAnsiTheme="minorHAnsi" w:cstheme="minorHAnsi"/>
                <w:b w:val="0"/>
                <w:bCs w:val="0"/>
                <w:caps w:val="0"/>
                <w:noProof/>
                <w:sz w:val="22"/>
                <w:szCs w:val="22"/>
                <w:lang w:bidi="ar-SA"/>
              </w:rPr>
              <w:tab/>
            </w:r>
            <w:r w:rsidRPr="00A25FF4">
              <w:rPr>
                <w:rStyle w:val="Hyperlink"/>
                <w:rFonts w:asciiTheme="minorHAnsi" w:hAnsiTheme="minorHAnsi" w:cstheme="minorHAnsi"/>
                <w:noProof/>
              </w:rPr>
              <w:t>Introduction</w:t>
            </w:r>
            <w:r w:rsidRPr="00A25FF4">
              <w:rPr>
                <w:rFonts w:asciiTheme="minorHAnsi" w:hAnsiTheme="minorHAnsi" w:cstheme="minorHAnsi"/>
                <w:noProof/>
                <w:webHidden/>
              </w:rPr>
              <w:tab/>
            </w:r>
            <w:r w:rsidRPr="00A25FF4">
              <w:rPr>
                <w:rFonts w:asciiTheme="minorHAnsi" w:hAnsiTheme="minorHAnsi" w:cstheme="minorHAnsi"/>
                <w:noProof/>
                <w:webHidden/>
              </w:rPr>
              <w:fldChar w:fldCharType="begin"/>
            </w:r>
            <w:r w:rsidRPr="00A25FF4">
              <w:rPr>
                <w:rFonts w:asciiTheme="minorHAnsi" w:hAnsiTheme="minorHAnsi" w:cstheme="minorHAnsi"/>
                <w:noProof/>
                <w:webHidden/>
              </w:rPr>
              <w:instrText xml:space="preserve"> PAGEREF _Toc103714910 \h </w:instrText>
            </w:r>
            <w:r w:rsidRPr="00A25FF4">
              <w:rPr>
                <w:rFonts w:asciiTheme="minorHAnsi" w:hAnsiTheme="minorHAnsi" w:cstheme="minorHAnsi"/>
                <w:noProof/>
                <w:webHidden/>
              </w:rPr>
            </w:r>
            <w:r w:rsidRPr="00A25FF4">
              <w:rPr>
                <w:rFonts w:asciiTheme="minorHAnsi" w:hAnsiTheme="minorHAnsi" w:cstheme="minorHAnsi"/>
                <w:noProof/>
                <w:webHidden/>
              </w:rPr>
              <w:fldChar w:fldCharType="separate"/>
            </w:r>
            <w:r>
              <w:rPr>
                <w:rFonts w:asciiTheme="minorHAnsi" w:hAnsiTheme="minorHAnsi" w:cstheme="minorHAnsi"/>
                <w:noProof/>
                <w:webHidden/>
              </w:rPr>
              <w:t>2</w:t>
            </w:r>
            <w:r w:rsidRPr="00A25FF4">
              <w:rPr>
                <w:rFonts w:asciiTheme="minorHAnsi" w:hAnsiTheme="minorHAnsi" w:cstheme="minorHAnsi"/>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11" w:history="1">
            <w:r w:rsidRPr="00A25FF4">
              <w:rPr>
                <w:rStyle w:val="Hyperlink"/>
                <w:noProof/>
              </w:rPr>
              <w:t>1.1 Principles and Aims of Health Protection Training</w:t>
            </w:r>
            <w:r w:rsidRPr="00A25FF4">
              <w:rPr>
                <w:noProof/>
                <w:webHidden/>
              </w:rPr>
              <w:tab/>
            </w:r>
            <w:r w:rsidRPr="00A25FF4">
              <w:rPr>
                <w:noProof/>
                <w:webHidden/>
              </w:rPr>
              <w:fldChar w:fldCharType="begin"/>
            </w:r>
            <w:r w:rsidRPr="00A25FF4">
              <w:rPr>
                <w:noProof/>
                <w:webHidden/>
              </w:rPr>
              <w:instrText xml:space="preserve"> PAGEREF _Toc103714911 \h </w:instrText>
            </w:r>
            <w:r w:rsidRPr="00A25FF4">
              <w:rPr>
                <w:noProof/>
                <w:webHidden/>
              </w:rPr>
            </w:r>
            <w:r w:rsidRPr="00A25FF4">
              <w:rPr>
                <w:noProof/>
                <w:webHidden/>
              </w:rPr>
              <w:fldChar w:fldCharType="separate"/>
            </w:r>
            <w:r>
              <w:rPr>
                <w:noProof/>
                <w:webHidden/>
              </w:rPr>
              <w:t>2</w:t>
            </w:r>
            <w:r w:rsidRPr="00A25FF4">
              <w:rPr>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12" w:history="1">
            <w:r w:rsidRPr="00A25FF4">
              <w:rPr>
                <w:rStyle w:val="Hyperlink"/>
                <w:noProof/>
              </w:rPr>
              <w:t>1.2 Health Protection Training in the East of England</w:t>
            </w:r>
            <w:r w:rsidRPr="00A25FF4">
              <w:rPr>
                <w:noProof/>
                <w:webHidden/>
              </w:rPr>
              <w:tab/>
            </w:r>
            <w:r w:rsidRPr="00A25FF4">
              <w:rPr>
                <w:noProof/>
                <w:webHidden/>
              </w:rPr>
              <w:fldChar w:fldCharType="begin"/>
            </w:r>
            <w:r w:rsidRPr="00A25FF4">
              <w:rPr>
                <w:noProof/>
                <w:webHidden/>
              </w:rPr>
              <w:instrText xml:space="preserve"> PAGEREF _Toc103714912 \h </w:instrText>
            </w:r>
            <w:r w:rsidRPr="00A25FF4">
              <w:rPr>
                <w:noProof/>
                <w:webHidden/>
              </w:rPr>
            </w:r>
            <w:r w:rsidRPr="00A25FF4">
              <w:rPr>
                <w:noProof/>
                <w:webHidden/>
              </w:rPr>
              <w:fldChar w:fldCharType="separate"/>
            </w:r>
            <w:r>
              <w:rPr>
                <w:noProof/>
                <w:webHidden/>
              </w:rPr>
              <w:t>2</w:t>
            </w:r>
            <w:r w:rsidRPr="00A25FF4">
              <w:rPr>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13" w:history="1">
            <w:r w:rsidRPr="00A25FF4">
              <w:rPr>
                <w:rStyle w:val="Hyperlink"/>
                <w:noProof/>
              </w:rPr>
              <w:t>1.3 Purpose of this policy</w:t>
            </w:r>
            <w:r w:rsidRPr="00A25FF4">
              <w:rPr>
                <w:noProof/>
                <w:webHidden/>
              </w:rPr>
              <w:tab/>
            </w:r>
            <w:r w:rsidRPr="00A25FF4">
              <w:rPr>
                <w:noProof/>
                <w:webHidden/>
              </w:rPr>
              <w:fldChar w:fldCharType="begin"/>
            </w:r>
            <w:r w:rsidRPr="00A25FF4">
              <w:rPr>
                <w:noProof/>
                <w:webHidden/>
              </w:rPr>
              <w:instrText xml:space="preserve"> PAGEREF _Toc103714913 \h </w:instrText>
            </w:r>
            <w:r w:rsidRPr="00A25FF4">
              <w:rPr>
                <w:noProof/>
                <w:webHidden/>
              </w:rPr>
            </w:r>
            <w:r w:rsidRPr="00A25FF4">
              <w:rPr>
                <w:noProof/>
                <w:webHidden/>
              </w:rPr>
              <w:fldChar w:fldCharType="separate"/>
            </w:r>
            <w:r>
              <w:rPr>
                <w:noProof/>
                <w:webHidden/>
              </w:rPr>
              <w:t>3</w:t>
            </w:r>
            <w:r w:rsidRPr="00A25FF4">
              <w:rPr>
                <w:noProof/>
                <w:webHidden/>
              </w:rPr>
              <w:fldChar w:fldCharType="end"/>
            </w:r>
          </w:hyperlink>
        </w:p>
        <w:p w:rsidR="00A141E7" w:rsidRPr="00A25FF4" w:rsidRDefault="00A141E7" w:rsidP="00A141E7">
          <w:pPr>
            <w:pStyle w:val="TOC1"/>
            <w:tabs>
              <w:tab w:val="left" w:pos="440"/>
              <w:tab w:val="right" w:leader="dot" w:pos="10260"/>
            </w:tabs>
            <w:rPr>
              <w:rFonts w:asciiTheme="minorHAnsi" w:eastAsiaTheme="minorEastAsia" w:hAnsiTheme="minorHAnsi" w:cstheme="minorHAnsi"/>
              <w:b w:val="0"/>
              <w:bCs w:val="0"/>
              <w:caps w:val="0"/>
              <w:noProof/>
              <w:sz w:val="22"/>
              <w:szCs w:val="22"/>
              <w:lang w:bidi="ar-SA"/>
            </w:rPr>
          </w:pPr>
          <w:hyperlink w:anchor="_Toc103714914" w:history="1">
            <w:r w:rsidRPr="00A25FF4">
              <w:rPr>
                <w:rStyle w:val="Hyperlink"/>
                <w:rFonts w:asciiTheme="minorHAnsi" w:hAnsiTheme="minorHAnsi" w:cstheme="minorHAnsi"/>
                <w:noProof/>
                <w:spacing w:val="-1"/>
              </w:rPr>
              <w:t>2.</w:t>
            </w:r>
            <w:r w:rsidRPr="00A25FF4">
              <w:rPr>
                <w:rFonts w:asciiTheme="minorHAnsi" w:eastAsiaTheme="minorEastAsia" w:hAnsiTheme="minorHAnsi" w:cstheme="minorHAnsi"/>
                <w:b w:val="0"/>
                <w:bCs w:val="0"/>
                <w:caps w:val="0"/>
                <w:noProof/>
                <w:sz w:val="22"/>
                <w:szCs w:val="22"/>
                <w:lang w:bidi="ar-SA"/>
              </w:rPr>
              <w:tab/>
            </w:r>
            <w:r w:rsidRPr="00A25FF4">
              <w:rPr>
                <w:rStyle w:val="Hyperlink"/>
                <w:rFonts w:asciiTheme="minorHAnsi" w:hAnsiTheme="minorHAnsi" w:cstheme="minorHAnsi"/>
                <w:noProof/>
              </w:rPr>
              <w:t>The Mandatory Health Protection Placement</w:t>
            </w:r>
            <w:r w:rsidRPr="00A25FF4">
              <w:rPr>
                <w:rFonts w:asciiTheme="minorHAnsi" w:hAnsiTheme="minorHAnsi" w:cstheme="minorHAnsi"/>
                <w:noProof/>
                <w:webHidden/>
              </w:rPr>
              <w:tab/>
            </w:r>
            <w:r w:rsidRPr="00A25FF4">
              <w:rPr>
                <w:rFonts w:asciiTheme="minorHAnsi" w:hAnsiTheme="minorHAnsi" w:cstheme="minorHAnsi"/>
                <w:noProof/>
                <w:webHidden/>
              </w:rPr>
              <w:fldChar w:fldCharType="begin"/>
            </w:r>
            <w:r w:rsidRPr="00A25FF4">
              <w:rPr>
                <w:rFonts w:asciiTheme="minorHAnsi" w:hAnsiTheme="minorHAnsi" w:cstheme="minorHAnsi"/>
                <w:noProof/>
                <w:webHidden/>
              </w:rPr>
              <w:instrText xml:space="preserve"> PAGEREF _Toc103714914 \h </w:instrText>
            </w:r>
            <w:r w:rsidRPr="00A25FF4">
              <w:rPr>
                <w:rFonts w:asciiTheme="minorHAnsi" w:hAnsiTheme="minorHAnsi" w:cstheme="minorHAnsi"/>
                <w:noProof/>
                <w:webHidden/>
              </w:rPr>
            </w:r>
            <w:r w:rsidRPr="00A25FF4">
              <w:rPr>
                <w:rFonts w:asciiTheme="minorHAnsi" w:hAnsiTheme="minorHAnsi" w:cstheme="minorHAnsi"/>
                <w:noProof/>
                <w:webHidden/>
              </w:rPr>
              <w:fldChar w:fldCharType="separate"/>
            </w:r>
            <w:r>
              <w:rPr>
                <w:rFonts w:asciiTheme="minorHAnsi" w:hAnsiTheme="minorHAnsi" w:cstheme="minorHAnsi"/>
                <w:noProof/>
                <w:webHidden/>
              </w:rPr>
              <w:t>3</w:t>
            </w:r>
            <w:r w:rsidRPr="00A25FF4">
              <w:rPr>
                <w:rFonts w:asciiTheme="minorHAnsi" w:hAnsiTheme="minorHAnsi" w:cstheme="minorHAnsi"/>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15" w:history="1">
            <w:r w:rsidRPr="00A25FF4">
              <w:rPr>
                <w:rStyle w:val="Hyperlink"/>
                <w:noProof/>
              </w:rPr>
              <w:t>2.1 Arranging the mandatory health protection placement</w:t>
            </w:r>
            <w:r w:rsidRPr="00A25FF4">
              <w:rPr>
                <w:noProof/>
                <w:webHidden/>
              </w:rPr>
              <w:tab/>
            </w:r>
            <w:r w:rsidRPr="00A25FF4">
              <w:rPr>
                <w:noProof/>
                <w:webHidden/>
              </w:rPr>
              <w:fldChar w:fldCharType="begin"/>
            </w:r>
            <w:r w:rsidRPr="00A25FF4">
              <w:rPr>
                <w:noProof/>
                <w:webHidden/>
              </w:rPr>
              <w:instrText xml:space="preserve"> PAGEREF _Toc103714915 \h </w:instrText>
            </w:r>
            <w:r w:rsidRPr="00A25FF4">
              <w:rPr>
                <w:noProof/>
                <w:webHidden/>
              </w:rPr>
            </w:r>
            <w:r w:rsidRPr="00A25FF4">
              <w:rPr>
                <w:noProof/>
                <w:webHidden/>
              </w:rPr>
              <w:fldChar w:fldCharType="separate"/>
            </w:r>
            <w:r>
              <w:rPr>
                <w:noProof/>
                <w:webHidden/>
              </w:rPr>
              <w:t>3</w:t>
            </w:r>
            <w:r w:rsidRPr="00A25FF4">
              <w:rPr>
                <w:noProof/>
                <w:webHidden/>
              </w:rPr>
              <w:fldChar w:fldCharType="end"/>
            </w:r>
          </w:hyperlink>
        </w:p>
        <w:p w:rsidR="00A141E7" w:rsidRPr="00A25FF4" w:rsidRDefault="00A141E7" w:rsidP="00A141E7">
          <w:pPr>
            <w:pStyle w:val="TOC2"/>
            <w:tabs>
              <w:tab w:val="left" w:pos="660"/>
              <w:tab w:val="right" w:leader="dot" w:pos="10260"/>
            </w:tabs>
            <w:rPr>
              <w:rFonts w:eastAsiaTheme="minorEastAsia"/>
              <w:b w:val="0"/>
              <w:bCs w:val="0"/>
              <w:noProof/>
              <w:sz w:val="22"/>
              <w:szCs w:val="22"/>
              <w:lang w:bidi="ar-SA"/>
            </w:rPr>
          </w:pPr>
          <w:hyperlink w:anchor="_Toc103714916" w:history="1">
            <w:r w:rsidRPr="00A25FF4">
              <w:rPr>
                <w:rStyle w:val="Hyperlink"/>
                <w:noProof/>
              </w:rPr>
              <w:t>2.2</w:t>
            </w:r>
            <w:r w:rsidRPr="00A25FF4">
              <w:rPr>
                <w:rFonts w:eastAsiaTheme="minorEastAsia"/>
                <w:b w:val="0"/>
                <w:bCs w:val="0"/>
                <w:noProof/>
                <w:sz w:val="22"/>
                <w:szCs w:val="22"/>
                <w:lang w:bidi="ar-SA"/>
              </w:rPr>
              <w:tab/>
            </w:r>
            <w:r w:rsidRPr="00A25FF4">
              <w:rPr>
                <w:rStyle w:val="Hyperlink"/>
                <w:noProof/>
              </w:rPr>
              <w:t>Key elements of the</w:t>
            </w:r>
            <w:r w:rsidRPr="00A25FF4">
              <w:rPr>
                <w:rStyle w:val="Hyperlink"/>
                <w:noProof/>
                <w:spacing w:val="-7"/>
              </w:rPr>
              <w:t xml:space="preserve"> </w:t>
            </w:r>
            <w:r w:rsidRPr="00A25FF4">
              <w:rPr>
                <w:rStyle w:val="Hyperlink"/>
                <w:noProof/>
              </w:rPr>
              <w:t>training</w:t>
            </w:r>
            <w:r w:rsidRPr="00A25FF4">
              <w:rPr>
                <w:noProof/>
                <w:webHidden/>
              </w:rPr>
              <w:tab/>
            </w:r>
            <w:r w:rsidRPr="00A25FF4">
              <w:rPr>
                <w:noProof/>
                <w:webHidden/>
              </w:rPr>
              <w:fldChar w:fldCharType="begin"/>
            </w:r>
            <w:r w:rsidRPr="00A25FF4">
              <w:rPr>
                <w:noProof/>
                <w:webHidden/>
              </w:rPr>
              <w:instrText xml:space="preserve"> PAGEREF _Toc103714916 \h </w:instrText>
            </w:r>
            <w:r w:rsidRPr="00A25FF4">
              <w:rPr>
                <w:noProof/>
                <w:webHidden/>
              </w:rPr>
            </w:r>
            <w:r w:rsidRPr="00A25FF4">
              <w:rPr>
                <w:noProof/>
                <w:webHidden/>
              </w:rPr>
              <w:fldChar w:fldCharType="separate"/>
            </w:r>
            <w:r>
              <w:rPr>
                <w:noProof/>
                <w:webHidden/>
              </w:rPr>
              <w:t>4</w:t>
            </w:r>
            <w:r w:rsidRPr="00A25FF4">
              <w:rPr>
                <w:noProof/>
                <w:webHidden/>
              </w:rPr>
              <w:fldChar w:fldCharType="end"/>
            </w:r>
          </w:hyperlink>
        </w:p>
        <w:p w:rsidR="00A141E7" w:rsidRPr="00A25FF4" w:rsidRDefault="00A141E7" w:rsidP="00A141E7">
          <w:pPr>
            <w:pStyle w:val="TOC3"/>
            <w:tabs>
              <w:tab w:val="right" w:leader="dot" w:pos="10260"/>
            </w:tabs>
            <w:rPr>
              <w:rFonts w:eastAsiaTheme="minorEastAsia"/>
              <w:noProof/>
              <w:sz w:val="22"/>
              <w:szCs w:val="22"/>
              <w:lang w:bidi="ar-SA"/>
            </w:rPr>
          </w:pPr>
          <w:hyperlink w:anchor="_Toc103714917" w:history="1">
            <w:r w:rsidRPr="00A25FF4">
              <w:rPr>
                <w:rStyle w:val="Hyperlink"/>
                <w:noProof/>
              </w:rPr>
              <w:t>2.2.1 Induction</w:t>
            </w:r>
            <w:r w:rsidRPr="00A25FF4">
              <w:rPr>
                <w:noProof/>
                <w:webHidden/>
              </w:rPr>
              <w:tab/>
            </w:r>
            <w:r w:rsidRPr="00A25FF4">
              <w:rPr>
                <w:noProof/>
                <w:webHidden/>
              </w:rPr>
              <w:fldChar w:fldCharType="begin"/>
            </w:r>
            <w:r w:rsidRPr="00A25FF4">
              <w:rPr>
                <w:noProof/>
                <w:webHidden/>
              </w:rPr>
              <w:instrText xml:space="preserve"> PAGEREF _Toc103714917 \h </w:instrText>
            </w:r>
            <w:r w:rsidRPr="00A25FF4">
              <w:rPr>
                <w:noProof/>
                <w:webHidden/>
              </w:rPr>
            </w:r>
            <w:r w:rsidRPr="00A25FF4">
              <w:rPr>
                <w:noProof/>
                <w:webHidden/>
              </w:rPr>
              <w:fldChar w:fldCharType="separate"/>
            </w:r>
            <w:r>
              <w:rPr>
                <w:noProof/>
                <w:webHidden/>
              </w:rPr>
              <w:t>4</w:t>
            </w:r>
            <w:r w:rsidRPr="00A25FF4">
              <w:rPr>
                <w:noProof/>
                <w:webHidden/>
              </w:rPr>
              <w:fldChar w:fldCharType="end"/>
            </w:r>
          </w:hyperlink>
        </w:p>
        <w:p w:rsidR="00A141E7" w:rsidRPr="00A25FF4" w:rsidRDefault="00A141E7" w:rsidP="00A141E7">
          <w:pPr>
            <w:pStyle w:val="TOC3"/>
            <w:tabs>
              <w:tab w:val="right" w:leader="dot" w:pos="10260"/>
            </w:tabs>
            <w:rPr>
              <w:rFonts w:eastAsiaTheme="minorEastAsia"/>
              <w:noProof/>
              <w:sz w:val="22"/>
              <w:szCs w:val="22"/>
              <w:lang w:bidi="ar-SA"/>
            </w:rPr>
          </w:pPr>
          <w:hyperlink w:anchor="_Toc103714918" w:history="1">
            <w:r w:rsidRPr="00A25FF4">
              <w:rPr>
                <w:rStyle w:val="Hyperlink"/>
                <w:noProof/>
              </w:rPr>
              <w:t>2.2.2 Day-to-day work at the</w:t>
            </w:r>
            <w:r w:rsidRPr="00A25FF4">
              <w:rPr>
                <w:rStyle w:val="Hyperlink"/>
                <w:noProof/>
                <w:spacing w:val="-11"/>
              </w:rPr>
              <w:t xml:space="preserve"> </w:t>
            </w:r>
            <w:r w:rsidRPr="00A25FF4">
              <w:rPr>
                <w:rStyle w:val="Hyperlink"/>
                <w:noProof/>
              </w:rPr>
              <w:t>HPT</w:t>
            </w:r>
            <w:r w:rsidRPr="00A25FF4">
              <w:rPr>
                <w:noProof/>
                <w:webHidden/>
              </w:rPr>
              <w:tab/>
            </w:r>
            <w:r w:rsidRPr="00A25FF4">
              <w:rPr>
                <w:noProof/>
                <w:webHidden/>
              </w:rPr>
              <w:fldChar w:fldCharType="begin"/>
            </w:r>
            <w:r w:rsidRPr="00A25FF4">
              <w:rPr>
                <w:noProof/>
                <w:webHidden/>
              </w:rPr>
              <w:instrText xml:space="preserve"> PAGEREF _Toc103714918 \h </w:instrText>
            </w:r>
            <w:r w:rsidRPr="00A25FF4">
              <w:rPr>
                <w:noProof/>
                <w:webHidden/>
              </w:rPr>
            </w:r>
            <w:r w:rsidRPr="00A25FF4">
              <w:rPr>
                <w:noProof/>
                <w:webHidden/>
              </w:rPr>
              <w:fldChar w:fldCharType="separate"/>
            </w:r>
            <w:r>
              <w:rPr>
                <w:noProof/>
                <w:webHidden/>
              </w:rPr>
              <w:t>4</w:t>
            </w:r>
            <w:r w:rsidRPr="00A25FF4">
              <w:rPr>
                <w:noProof/>
                <w:webHidden/>
              </w:rPr>
              <w:fldChar w:fldCharType="end"/>
            </w:r>
          </w:hyperlink>
        </w:p>
        <w:p w:rsidR="00A141E7" w:rsidRPr="00A25FF4" w:rsidRDefault="00A141E7" w:rsidP="00A141E7">
          <w:pPr>
            <w:pStyle w:val="TOC3"/>
            <w:tabs>
              <w:tab w:val="right" w:leader="dot" w:pos="10260"/>
            </w:tabs>
            <w:rPr>
              <w:rFonts w:eastAsiaTheme="minorEastAsia"/>
              <w:noProof/>
              <w:sz w:val="22"/>
              <w:szCs w:val="22"/>
              <w:lang w:bidi="ar-SA"/>
            </w:rPr>
          </w:pPr>
          <w:hyperlink w:anchor="_Toc103714919" w:history="1">
            <w:r w:rsidRPr="00A25FF4">
              <w:rPr>
                <w:rStyle w:val="Hyperlink"/>
                <w:noProof/>
              </w:rPr>
              <w:t>2.2.3 Workstreams and projects</w:t>
            </w:r>
            <w:r w:rsidRPr="00A25FF4">
              <w:rPr>
                <w:noProof/>
                <w:webHidden/>
              </w:rPr>
              <w:tab/>
            </w:r>
            <w:r w:rsidRPr="00A25FF4">
              <w:rPr>
                <w:noProof/>
                <w:webHidden/>
              </w:rPr>
              <w:fldChar w:fldCharType="begin"/>
            </w:r>
            <w:r w:rsidRPr="00A25FF4">
              <w:rPr>
                <w:noProof/>
                <w:webHidden/>
              </w:rPr>
              <w:instrText xml:space="preserve"> PAGEREF _Toc103714919 \h </w:instrText>
            </w:r>
            <w:r w:rsidRPr="00A25FF4">
              <w:rPr>
                <w:noProof/>
                <w:webHidden/>
              </w:rPr>
            </w:r>
            <w:r w:rsidRPr="00A25FF4">
              <w:rPr>
                <w:noProof/>
                <w:webHidden/>
              </w:rPr>
              <w:fldChar w:fldCharType="separate"/>
            </w:r>
            <w:r>
              <w:rPr>
                <w:noProof/>
                <w:webHidden/>
              </w:rPr>
              <w:t>4</w:t>
            </w:r>
            <w:r w:rsidRPr="00A25FF4">
              <w:rPr>
                <w:noProof/>
                <w:webHidden/>
              </w:rPr>
              <w:fldChar w:fldCharType="end"/>
            </w:r>
          </w:hyperlink>
        </w:p>
        <w:p w:rsidR="00A141E7" w:rsidRPr="00A25FF4" w:rsidRDefault="00A141E7" w:rsidP="00A141E7">
          <w:pPr>
            <w:pStyle w:val="TOC3"/>
            <w:tabs>
              <w:tab w:val="right" w:leader="dot" w:pos="10260"/>
            </w:tabs>
            <w:rPr>
              <w:rFonts w:eastAsiaTheme="minorEastAsia"/>
              <w:noProof/>
              <w:sz w:val="22"/>
              <w:szCs w:val="22"/>
              <w:lang w:bidi="ar-SA"/>
            </w:rPr>
          </w:pPr>
          <w:hyperlink w:anchor="_Toc103714920" w:history="1">
            <w:r w:rsidRPr="00A25FF4">
              <w:rPr>
                <w:rStyle w:val="Hyperlink"/>
                <w:noProof/>
              </w:rPr>
              <w:t>2.2.4 Teaching and</w:t>
            </w:r>
            <w:r w:rsidRPr="00A25FF4">
              <w:rPr>
                <w:rStyle w:val="Hyperlink"/>
                <w:noProof/>
                <w:spacing w:val="-3"/>
              </w:rPr>
              <w:t xml:space="preserve"> </w:t>
            </w:r>
            <w:r w:rsidRPr="00A25FF4">
              <w:rPr>
                <w:rStyle w:val="Hyperlink"/>
                <w:noProof/>
              </w:rPr>
              <w:t>training</w:t>
            </w:r>
            <w:r w:rsidRPr="00A25FF4">
              <w:rPr>
                <w:noProof/>
                <w:webHidden/>
              </w:rPr>
              <w:tab/>
            </w:r>
            <w:r w:rsidRPr="00A25FF4">
              <w:rPr>
                <w:noProof/>
                <w:webHidden/>
              </w:rPr>
              <w:fldChar w:fldCharType="begin"/>
            </w:r>
            <w:r w:rsidRPr="00A25FF4">
              <w:rPr>
                <w:noProof/>
                <w:webHidden/>
              </w:rPr>
              <w:instrText xml:space="preserve"> PAGEREF _Toc103714920 \h </w:instrText>
            </w:r>
            <w:r w:rsidRPr="00A25FF4">
              <w:rPr>
                <w:noProof/>
                <w:webHidden/>
              </w:rPr>
            </w:r>
            <w:r w:rsidRPr="00A25FF4">
              <w:rPr>
                <w:noProof/>
                <w:webHidden/>
              </w:rPr>
              <w:fldChar w:fldCharType="separate"/>
            </w:r>
            <w:r>
              <w:rPr>
                <w:noProof/>
                <w:webHidden/>
              </w:rPr>
              <w:t>5</w:t>
            </w:r>
            <w:r w:rsidRPr="00A25FF4">
              <w:rPr>
                <w:noProof/>
                <w:webHidden/>
              </w:rPr>
              <w:fldChar w:fldCharType="end"/>
            </w:r>
          </w:hyperlink>
        </w:p>
        <w:p w:rsidR="00A141E7" w:rsidRPr="00A25FF4" w:rsidRDefault="00A141E7" w:rsidP="00A141E7">
          <w:pPr>
            <w:pStyle w:val="TOC3"/>
            <w:tabs>
              <w:tab w:val="right" w:leader="dot" w:pos="10260"/>
            </w:tabs>
            <w:rPr>
              <w:rFonts w:eastAsiaTheme="minorEastAsia"/>
              <w:noProof/>
              <w:sz w:val="22"/>
              <w:szCs w:val="22"/>
              <w:lang w:bidi="ar-SA"/>
            </w:rPr>
          </w:pPr>
          <w:hyperlink w:anchor="_Toc103714921" w:history="1">
            <w:r w:rsidRPr="00A25FF4">
              <w:rPr>
                <w:rStyle w:val="Hyperlink"/>
                <w:noProof/>
              </w:rPr>
              <w:t>2.2.5 Expected outcomes of generalist HP</w:t>
            </w:r>
            <w:r w:rsidRPr="00A25FF4">
              <w:rPr>
                <w:rStyle w:val="Hyperlink"/>
                <w:noProof/>
                <w:spacing w:val="-7"/>
              </w:rPr>
              <w:t xml:space="preserve"> </w:t>
            </w:r>
            <w:r w:rsidRPr="00A25FF4">
              <w:rPr>
                <w:rStyle w:val="Hyperlink"/>
                <w:noProof/>
              </w:rPr>
              <w:t>training</w:t>
            </w:r>
            <w:r w:rsidRPr="00A25FF4">
              <w:rPr>
                <w:noProof/>
                <w:webHidden/>
              </w:rPr>
              <w:tab/>
            </w:r>
            <w:r w:rsidRPr="00A25FF4">
              <w:rPr>
                <w:noProof/>
                <w:webHidden/>
              </w:rPr>
              <w:fldChar w:fldCharType="begin"/>
            </w:r>
            <w:r w:rsidRPr="00A25FF4">
              <w:rPr>
                <w:noProof/>
                <w:webHidden/>
              </w:rPr>
              <w:instrText xml:space="preserve"> PAGEREF _Toc103714921 \h </w:instrText>
            </w:r>
            <w:r w:rsidRPr="00A25FF4">
              <w:rPr>
                <w:noProof/>
                <w:webHidden/>
              </w:rPr>
            </w:r>
            <w:r w:rsidRPr="00A25FF4">
              <w:rPr>
                <w:noProof/>
                <w:webHidden/>
              </w:rPr>
              <w:fldChar w:fldCharType="separate"/>
            </w:r>
            <w:r>
              <w:rPr>
                <w:noProof/>
                <w:webHidden/>
              </w:rPr>
              <w:t>5</w:t>
            </w:r>
            <w:r w:rsidRPr="00A25FF4">
              <w:rPr>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22" w:history="1">
            <w:r w:rsidRPr="00A25FF4">
              <w:rPr>
                <w:rStyle w:val="Hyperlink"/>
                <w:noProof/>
              </w:rPr>
              <w:t>2.3 Additional placement time and training for StRs wishing to specialise in</w:t>
            </w:r>
            <w:r w:rsidRPr="00A25FF4">
              <w:rPr>
                <w:rStyle w:val="Hyperlink"/>
                <w:noProof/>
                <w:spacing w:val="-15"/>
              </w:rPr>
              <w:t xml:space="preserve"> </w:t>
            </w:r>
            <w:r w:rsidRPr="00A25FF4">
              <w:rPr>
                <w:rStyle w:val="Hyperlink"/>
                <w:noProof/>
              </w:rPr>
              <w:t>HP</w:t>
            </w:r>
            <w:r w:rsidRPr="00A25FF4">
              <w:rPr>
                <w:noProof/>
                <w:webHidden/>
              </w:rPr>
              <w:tab/>
            </w:r>
            <w:r w:rsidRPr="00A25FF4">
              <w:rPr>
                <w:noProof/>
                <w:webHidden/>
              </w:rPr>
              <w:fldChar w:fldCharType="begin"/>
            </w:r>
            <w:r w:rsidRPr="00A25FF4">
              <w:rPr>
                <w:noProof/>
                <w:webHidden/>
              </w:rPr>
              <w:instrText xml:space="preserve"> PAGEREF _Toc103714922 \h </w:instrText>
            </w:r>
            <w:r w:rsidRPr="00A25FF4">
              <w:rPr>
                <w:noProof/>
                <w:webHidden/>
              </w:rPr>
            </w:r>
            <w:r w:rsidRPr="00A25FF4">
              <w:rPr>
                <w:noProof/>
                <w:webHidden/>
              </w:rPr>
              <w:fldChar w:fldCharType="separate"/>
            </w:r>
            <w:r>
              <w:rPr>
                <w:noProof/>
                <w:webHidden/>
              </w:rPr>
              <w:t>6</w:t>
            </w:r>
            <w:r w:rsidRPr="00A25FF4">
              <w:rPr>
                <w:noProof/>
                <w:webHidden/>
              </w:rPr>
              <w:fldChar w:fldCharType="end"/>
            </w:r>
          </w:hyperlink>
        </w:p>
        <w:p w:rsidR="00A141E7" w:rsidRPr="00A25FF4" w:rsidRDefault="00A141E7" w:rsidP="00A141E7">
          <w:pPr>
            <w:pStyle w:val="TOC1"/>
            <w:tabs>
              <w:tab w:val="left" w:pos="440"/>
              <w:tab w:val="right" w:leader="dot" w:pos="10260"/>
            </w:tabs>
            <w:rPr>
              <w:rFonts w:asciiTheme="minorHAnsi" w:eastAsiaTheme="minorEastAsia" w:hAnsiTheme="minorHAnsi" w:cstheme="minorHAnsi"/>
              <w:b w:val="0"/>
              <w:bCs w:val="0"/>
              <w:caps w:val="0"/>
              <w:noProof/>
              <w:sz w:val="22"/>
              <w:szCs w:val="22"/>
              <w:lang w:bidi="ar-SA"/>
            </w:rPr>
          </w:pPr>
          <w:hyperlink w:anchor="_Toc103714923" w:history="1">
            <w:r w:rsidRPr="00A25FF4">
              <w:rPr>
                <w:rStyle w:val="Hyperlink"/>
                <w:rFonts w:asciiTheme="minorHAnsi" w:hAnsiTheme="minorHAnsi" w:cstheme="minorHAnsi"/>
                <w:noProof/>
                <w:spacing w:val="-1"/>
              </w:rPr>
              <w:t>3.</w:t>
            </w:r>
            <w:r w:rsidRPr="00A25FF4">
              <w:rPr>
                <w:rFonts w:asciiTheme="minorHAnsi" w:eastAsiaTheme="minorEastAsia" w:hAnsiTheme="minorHAnsi" w:cstheme="minorHAnsi"/>
                <w:b w:val="0"/>
                <w:bCs w:val="0"/>
                <w:caps w:val="0"/>
                <w:noProof/>
                <w:sz w:val="22"/>
                <w:szCs w:val="22"/>
                <w:lang w:bidi="ar-SA"/>
              </w:rPr>
              <w:tab/>
            </w:r>
            <w:r w:rsidRPr="00A25FF4">
              <w:rPr>
                <w:rStyle w:val="Hyperlink"/>
                <w:rFonts w:asciiTheme="minorHAnsi" w:hAnsiTheme="minorHAnsi" w:cstheme="minorHAnsi"/>
                <w:noProof/>
              </w:rPr>
              <w:t>Out of Hours</w:t>
            </w:r>
            <w:r w:rsidRPr="00A25FF4">
              <w:rPr>
                <w:rFonts w:asciiTheme="minorHAnsi" w:hAnsiTheme="minorHAnsi" w:cstheme="minorHAnsi"/>
                <w:noProof/>
                <w:webHidden/>
              </w:rPr>
              <w:tab/>
            </w:r>
            <w:r w:rsidRPr="00A25FF4">
              <w:rPr>
                <w:rFonts w:asciiTheme="minorHAnsi" w:hAnsiTheme="minorHAnsi" w:cstheme="minorHAnsi"/>
                <w:noProof/>
                <w:webHidden/>
              </w:rPr>
              <w:fldChar w:fldCharType="begin"/>
            </w:r>
            <w:r w:rsidRPr="00A25FF4">
              <w:rPr>
                <w:rFonts w:asciiTheme="minorHAnsi" w:hAnsiTheme="minorHAnsi" w:cstheme="minorHAnsi"/>
                <w:noProof/>
                <w:webHidden/>
              </w:rPr>
              <w:instrText xml:space="preserve"> PAGEREF _Toc103714923 \h </w:instrText>
            </w:r>
            <w:r w:rsidRPr="00A25FF4">
              <w:rPr>
                <w:rFonts w:asciiTheme="minorHAnsi" w:hAnsiTheme="minorHAnsi" w:cstheme="minorHAnsi"/>
                <w:noProof/>
                <w:webHidden/>
              </w:rPr>
            </w:r>
            <w:r w:rsidRPr="00A25FF4">
              <w:rPr>
                <w:rFonts w:asciiTheme="minorHAnsi" w:hAnsiTheme="minorHAnsi" w:cstheme="minorHAnsi"/>
                <w:noProof/>
                <w:webHidden/>
              </w:rPr>
              <w:fldChar w:fldCharType="separate"/>
            </w:r>
            <w:r>
              <w:rPr>
                <w:rFonts w:asciiTheme="minorHAnsi" w:hAnsiTheme="minorHAnsi" w:cstheme="minorHAnsi"/>
                <w:noProof/>
                <w:webHidden/>
              </w:rPr>
              <w:t>6</w:t>
            </w:r>
            <w:r w:rsidRPr="00A25FF4">
              <w:rPr>
                <w:rFonts w:asciiTheme="minorHAnsi" w:hAnsiTheme="minorHAnsi" w:cstheme="minorHAnsi"/>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24" w:history="1">
            <w:r w:rsidRPr="00A25FF4">
              <w:rPr>
                <w:rStyle w:val="Hyperlink"/>
                <w:noProof/>
              </w:rPr>
              <w:t>3.1 Mandatory requirements for joining the out-of-hours rota</w:t>
            </w:r>
            <w:r w:rsidRPr="00A25FF4">
              <w:rPr>
                <w:noProof/>
                <w:webHidden/>
              </w:rPr>
              <w:tab/>
            </w:r>
            <w:r w:rsidRPr="00A25FF4">
              <w:rPr>
                <w:noProof/>
                <w:webHidden/>
              </w:rPr>
              <w:fldChar w:fldCharType="begin"/>
            </w:r>
            <w:r w:rsidRPr="00A25FF4">
              <w:rPr>
                <w:noProof/>
                <w:webHidden/>
              </w:rPr>
              <w:instrText xml:space="preserve"> PAGEREF _Toc103714924 \h </w:instrText>
            </w:r>
            <w:r w:rsidRPr="00A25FF4">
              <w:rPr>
                <w:noProof/>
                <w:webHidden/>
              </w:rPr>
            </w:r>
            <w:r w:rsidRPr="00A25FF4">
              <w:rPr>
                <w:noProof/>
                <w:webHidden/>
              </w:rPr>
              <w:fldChar w:fldCharType="separate"/>
            </w:r>
            <w:r>
              <w:rPr>
                <w:noProof/>
                <w:webHidden/>
              </w:rPr>
              <w:t>6</w:t>
            </w:r>
            <w:r w:rsidRPr="00A25FF4">
              <w:rPr>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25" w:history="1">
            <w:r w:rsidRPr="00A25FF4">
              <w:rPr>
                <w:rStyle w:val="Hyperlink"/>
                <w:noProof/>
              </w:rPr>
              <w:t>3.2 On-call training</w:t>
            </w:r>
            <w:r w:rsidRPr="00A25FF4">
              <w:rPr>
                <w:noProof/>
                <w:webHidden/>
              </w:rPr>
              <w:tab/>
            </w:r>
            <w:r w:rsidRPr="00A25FF4">
              <w:rPr>
                <w:noProof/>
                <w:webHidden/>
              </w:rPr>
              <w:fldChar w:fldCharType="begin"/>
            </w:r>
            <w:r w:rsidRPr="00A25FF4">
              <w:rPr>
                <w:noProof/>
                <w:webHidden/>
              </w:rPr>
              <w:instrText xml:space="preserve"> PAGEREF _Toc103714925 \h </w:instrText>
            </w:r>
            <w:r w:rsidRPr="00A25FF4">
              <w:rPr>
                <w:noProof/>
                <w:webHidden/>
              </w:rPr>
            </w:r>
            <w:r w:rsidRPr="00A25FF4">
              <w:rPr>
                <w:noProof/>
                <w:webHidden/>
              </w:rPr>
              <w:fldChar w:fldCharType="separate"/>
            </w:r>
            <w:r>
              <w:rPr>
                <w:noProof/>
                <w:webHidden/>
              </w:rPr>
              <w:t>7</w:t>
            </w:r>
            <w:r w:rsidRPr="00A25FF4">
              <w:rPr>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26" w:history="1">
            <w:r w:rsidRPr="00A25FF4">
              <w:rPr>
                <w:rStyle w:val="Hyperlink"/>
                <w:noProof/>
              </w:rPr>
              <w:t>3.3 On-call assessment</w:t>
            </w:r>
            <w:r w:rsidRPr="00A25FF4">
              <w:rPr>
                <w:noProof/>
                <w:webHidden/>
              </w:rPr>
              <w:tab/>
            </w:r>
            <w:r w:rsidRPr="00A25FF4">
              <w:rPr>
                <w:noProof/>
                <w:webHidden/>
              </w:rPr>
              <w:fldChar w:fldCharType="begin"/>
            </w:r>
            <w:r w:rsidRPr="00A25FF4">
              <w:rPr>
                <w:noProof/>
                <w:webHidden/>
              </w:rPr>
              <w:instrText xml:space="preserve"> PAGEREF _Toc103714926 \h </w:instrText>
            </w:r>
            <w:r w:rsidRPr="00A25FF4">
              <w:rPr>
                <w:noProof/>
                <w:webHidden/>
              </w:rPr>
            </w:r>
            <w:r w:rsidRPr="00A25FF4">
              <w:rPr>
                <w:noProof/>
                <w:webHidden/>
              </w:rPr>
              <w:fldChar w:fldCharType="separate"/>
            </w:r>
            <w:r>
              <w:rPr>
                <w:noProof/>
                <w:webHidden/>
              </w:rPr>
              <w:t>7</w:t>
            </w:r>
            <w:r w:rsidRPr="00A25FF4">
              <w:rPr>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27" w:history="1">
            <w:r w:rsidRPr="00A25FF4">
              <w:rPr>
                <w:rStyle w:val="Hyperlink"/>
                <w:noProof/>
              </w:rPr>
              <w:t>3.4 UKHSA Honorary Contract and Work Schedules</w:t>
            </w:r>
            <w:r w:rsidRPr="00A25FF4">
              <w:rPr>
                <w:noProof/>
                <w:webHidden/>
              </w:rPr>
              <w:tab/>
            </w:r>
            <w:r w:rsidRPr="00A25FF4">
              <w:rPr>
                <w:noProof/>
                <w:webHidden/>
              </w:rPr>
              <w:fldChar w:fldCharType="begin"/>
            </w:r>
            <w:r w:rsidRPr="00A25FF4">
              <w:rPr>
                <w:noProof/>
                <w:webHidden/>
              </w:rPr>
              <w:instrText xml:space="preserve"> PAGEREF _Toc103714927 \h </w:instrText>
            </w:r>
            <w:r w:rsidRPr="00A25FF4">
              <w:rPr>
                <w:noProof/>
                <w:webHidden/>
              </w:rPr>
            </w:r>
            <w:r w:rsidRPr="00A25FF4">
              <w:rPr>
                <w:noProof/>
                <w:webHidden/>
              </w:rPr>
              <w:fldChar w:fldCharType="separate"/>
            </w:r>
            <w:r>
              <w:rPr>
                <w:noProof/>
                <w:webHidden/>
              </w:rPr>
              <w:t>7</w:t>
            </w:r>
            <w:r w:rsidRPr="00A25FF4">
              <w:rPr>
                <w:noProof/>
                <w:webHidden/>
              </w:rPr>
              <w:fldChar w:fldCharType="end"/>
            </w:r>
          </w:hyperlink>
        </w:p>
        <w:p w:rsidR="00A141E7" w:rsidRPr="00A25FF4" w:rsidRDefault="00A141E7" w:rsidP="00A141E7">
          <w:pPr>
            <w:pStyle w:val="TOC2"/>
            <w:tabs>
              <w:tab w:val="right" w:leader="dot" w:pos="10260"/>
            </w:tabs>
            <w:rPr>
              <w:rFonts w:eastAsiaTheme="minorEastAsia"/>
              <w:b w:val="0"/>
              <w:bCs w:val="0"/>
              <w:noProof/>
              <w:sz w:val="22"/>
              <w:szCs w:val="22"/>
              <w:lang w:bidi="ar-SA"/>
            </w:rPr>
          </w:pPr>
          <w:hyperlink w:anchor="_Toc103714928" w:history="1">
            <w:r w:rsidRPr="00A25FF4">
              <w:rPr>
                <w:rStyle w:val="Hyperlink"/>
                <w:noProof/>
              </w:rPr>
              <w:t>3.5 Joining and being on the out of hours rota</w:t>
            </w:r>
            <w:r w:rsidRPr="00A25FF4">
              <w:rPr>
                <w:noProof/>
                <w:webHidden/>
              </w:rPr>
              <w:tab/>
            </w:r>
            <w:r w:rsidRPr="00A25FF4">
              <w:rPr>
                <w:noProof/>
                <w:webHidden/>
              </w:rPr>
              <w:fldChar w:fldCharType="begin"/>
            </w:r>
            <w:r w:rsidRPr="00A25FF4">
              <w:rPr>
                <w:noProof/>
                <w:webHidden/>
              </w:rPr>
              <w:instrText xml:space="preserve"> PAGEREF _Toc103714928 \h </w:instrText>
            </w:r>
            <w:r w:rsidRPr="00A25FF4">
              <w:rPr>
                <w:noProof/>
                <w:webHidden/>
              </w:rPr>
            </w:r>
            <w:r w:rsidRPr="00A25FF4">
              <w:rPr>
                <w:noProof/>
                <w:webHidden/>
              </w:rPr>
              <w:fldChar w:fldCharType="separate"/>
            </w:r>
            <w:r>
              <w:rPr>
                <w:noProof/>
                <w:webHidden/>
              </w:rPr>
              <w:t>8</w:t>
            </w:r>
            <w:r w:rsidRPr="00A25FF4">
              <w:rPr>
                <w:noProof/>
                <w:webHidden/>
              </w:rPr>
              <w:fldChar w:fldCharType="end"/>
            </w:r>
          </w:hyperlink>
        </w:p>
        <w:p w:rsidR="00A141E7" w:rsidRPr="00A25FF4" w:rsidRDefault="00A141E7" w:rsidP="00A141E7">
          <w:pPr>
            <w:pStyle w:val="TOC3"/>
            <w:tabs>
              <w:tab w:val="right" w:leader="dot" w:pos="10260"/>
            </w:tabs>
            <w:rPr>
              <w:rFonts w:eastAsiaTheme="minorEastAsia"/>
              <w:noProof/>
              <w:sz w:val="22"/>
              <w:szCs w:val="22"/>
              <w:lang w:bidi="ar-SA"/>
            </w:rPr>
          </w:pPr>
          <w:hyperlink w:anchor="_Toc103714929" w:history="1">
            <w:r w:rsidRPr="00A25FF4">
              <w:rPr>
                <w:rStyle w:val="Hyperlink"/>
                <w:noProof/>
              </w:rPr>
              <w:t>3.5.1 The rota and your availability</w:t>
            </w:r>
            <w:r w:rsidRPr="00A25FF4">
              <w:rPr>
                <w:noProof/>
                <w:webHidden/>
              </w:rPr>
              <w:tab/>
            </w:r>
            <w:r w:rsidRPr="00A25FF4">
              <w:rPr>
                <w:noProof/>
                <w:webHidden/>
              </w:rPr>
              <w:fldChar w:fldCharType="begin"/>
            </w:r>
            <w:r w:rsidRPr="00A25FF4">
              <w:rPr>
                <w:noProof/>
                <w:webHidden/>
              </w:rPr>
              <w:instrText xml:space="preserve"> PAGEREF _Toc103714929 \h </w:instrText>
            </w:r>
            <w:r w:rsidRPr="00A25FF4">
              <w:rPr>
                <w:noProof/>
                <w:webHidden/>
              </w:rPr>
            </w:r>
            <w:r w:rsidRPr="00A25FF4">
              <w:rPr>
                <w:noProof/>
                <w:webHidden/>
              </w:rPr>
              <w:fldChar w:fldCharType="separate"/>
            </w:r>
            <w:r>
              <w:rPr>
                <w:noProof/>
                <w:webHidden/>
              </w:rPr>
              <w:t>8</w:t>
            </w:r>
            <w:r w:rsidRPr="00A25FF4">
              <w:rPr>
                <w:noProof/>
                <w:webHidden/>
              </w:rPr>
              <w:fldChar w:fldCharType="end"/>
            </w:r>
          </w:hyperlink>
        </w:p>
        <w:p w:rsidR="00A141E7" w:rsidRPr="00A25FF4" w:rsidRDefault="00A141E7" w:rsidP="00A141E7">
          <w:pPr>
            <w:pStyle w:val="TOC3"/>
            <w:tabs>
              <w:tab w:val="right" w:leader="dot" w:pos="10260"/>
            </w:tabs>
            <w:rPr>
              <w:rFonts w:eastAsiaTheme="minorEastAsia"/>
              <w:noProof/>
              <w:sz w:val="22"/>
              <w:szCs w:val="22"/>
              <w:lang w:bidi="ar-SA"/>
            </w:rPr>
          </w:pPr>
          <w:hyperlink w:anchor="_Toc103714930" w:history="1">
            <w:r w:rsidRPr="00A25FF4">
              <w:rPr>
                <w:rStyle w:val="Hyperlink"/>
                <w:noProof/>
              </w:rPr>
              <w:t>3.5.2 Staying on the rota – Keep in Touch (KIT) days</w:t>
            </w:r>
            <w:r w:rsidRPr="00A25FF4">
              <w:rPr>
                <w:noProof/>
                <w:webHidden/>
              </w:rPr>
              <w:tab/>
            </w:r>
            <w:r w:rsidRPr="00A25FF4">
              <w:rPr>
                <w:noProof/>
                <w:webHidden/>
              </w:rPr>
              <w:fldChar w:fldCharType="begin"/>
            </w:r>
            <w:r w:rsidRPr="00A25FF4">
              <w:rPr>
                <w:noProof/>
                <w:webHidden/>
              </w:rPr>
              <w:instrText xml:space="preserve"> PAGEREF _Toc103714930 \h </w:instrText>
            </w:r>
            <w:r w:rsidRPr="00A25FF4">
              <w:rPr>
                <w:noProof/>
                <w:webHidden/>
              </w:rPr>
            </w:r>
            <w:r w:rsidRPr="00A25FF4">
              <w:rPr>
                <w:noProof/>
                <w:webHidden/>
              </w:rPr>
              <w:fldChar w:fldCharType="separate"/>
            </w:r>
            <w:r>
              <w:rPr>
                <w:noProof/>
                <w:webHidden/>
              </w:rPr>
              <w:t>8</w:t>
            </w:r>
            <w:r w:rsidRPr="00A25FF4">
              <w:rPr>
                <w:noProof/>
                <w:webHidden/>
              </w:rPr>
              <w:fldChar w:fldCharType="end"/>
            </w:r>
          </w:hyperlink>
        </w:p>
        <w:p w:rsidR="00A141E7" w:rsidRPr="00A25FF4" w:rsidRDefault="00A141E7" w:rsidP="00A141E7">
          <w:pPr>
            <w:pStyle w:val="TOC3"/>
            <w:tabs>
              <w:tab w:val="right" w:leader="dot" w:pos="10260"/>
            </w:tabs>
            <w:rPr>
              <w:rFonts w:eastAsiaTheme="minorEastAsia"/>
              <w:noProof/>
              <w:sz w:val="22"/>
              <w:szCs w:val="22"/>
              <w:lang w:bidi="ar-SA"/>
            </w:rPr>
          </w:pPr>
          <w:hyperlink w:anchor="_Toc103714931" w:history="1">
            <w:r w:rsidRPr="00A25FF4">
              <w:rPr>
                <w:rStyle w:val="Hyperlink"/>
                <w:noProof/>
              </w:rPr>
              <w:t>3.5.3 Leaving and returning to the out of hours rota</w:t>
            </w:r>
            <w:r w:rsidRPr="00A25FF4">
              <w:rPr>
                <w:noProof/>
                <w:webHidden/>
              </w:rPr>
              <w:tab/>
            </w:r>
            <w:r w:rsidRPr="00A25FF4">
              <w:rPr>
                <w:noProof/>
                <w:webHidden/>
              </w:rPr>
              <w:fldChar w:fldCharType="begin"/>
            </w:r>
            <w:r w:rsidRPr="00A25FF4">
              <w:rPr>
                <w:noProof/>
                <w:webHidden/>
              </w:rPr>
              <w:instrText xml:space="preserve"> PAGEREF _Toc103714931 \h </w:instrText>
            </w:r>
            <w:r w:rsidRPr="00A25FF4">
              <w:rPr>
                <w:noProof/>
                <w:webHidden/>
              </w:rPr>
            </w:r>
            <w:r w:rsidRPr="00A25FF4">
              <w:rPr>
                <w:noProof/>
                <w:webHidden/>
              </w:rPr>
              <w:fldChar w:fldCharType="separate"/>
            </w:r>
            <w:r>
              <w:rPr>
                <w:noProof/>
                <w:webHidden/>
              </w:rPr>
              <w:t>8</w:t>
            </w:r>
            <w:r w:rsidRPr="00A25FF4">
              <w:rPr>
                <w:noProof/>
                <w:webHidden/>
              </w:rPr>
              <w:fldChar w:fldCharType="end"/>
            </w:r>
          </w:hyperlink>
        </w:p>
        <w:p w:rsidR="00A141E7" w:rsidRDefault="00A141E7" w:rsidP="00A141E7">
          <w:r>
            <w:rPr>
              <w:b/>
              <w:bCs/>
              <w:noProof/>
            </w:rPr>
            <w:fldChar w:fldCharType="end"/>
          </w:r>
        </w:p>
      </w:sdtContent>
    </w:sdt>
    <w:p w:rsidR="00A141E7" w:rsidRDefault="00A141E7" w:rsidP="00A141E7">
      <w:pPr>
        <w:pStyle w:val="BodyText"/>
        <w:rPr>
          <w:rFonts w:ascii="Times New Roman"/>
          <w:sz w:val="20"/>
        </w:rPr>
      </w:pPr>
    </w:p>
    <w:p w:rsidR="00A141E7" w:rsidRDefault="00A141E7" w:rsidP="00A141E7">
      <w:pPr>
        <w:pStyle w:val="BodyText"/>
        <w:rPr>
          <w:b/>
          <w:sz w:val="20"/>
        </w:rPr>
      </w:pPr>
    </w:p>
    <w:p w:rsidR="00A141E7" w:rsidRDefault="00A141E7" w:rsidP="00A141E7">
      <w:pPr>
        <w:pStyle w:val="BodyText"/>
        <w:rPr>
          <w:b/>
          <w:sz w:val="20"/>
        </w:rPr>
      </w:pPr>
    </w:p>
    <w:p w:rsidR="00A141E7" w:rsidRDefault="00A141E7" w:rsidP="00A141E7">
      <w:pPr>
        <w:pStyle w:val="BodyText"/>
        <w:rPr>
          <w:b/>
          <w:sz w:val="20"/>
        </w:rPr>
      </w:pPr>
    </w:p>
    <w:p w:rsidR="00A141E7" w:rsidRDefault="00A141E7" w:rsidP="00A141E7">
      <w:pPr>
        <w:pStyle w:val="BodyText"/>
        <w:rPr>
          <w:b/>
          <w:sz w:val="20"/>
        </w:rPr>
      </w:pPr>
    </w:p>
    <w:p w:rsidR="00A141E7" w:rsidRDefault="00A141E7" w:rsidP="00A141E7">
      <w:pPr>
        <w:pStyle w:val="BodyText"/>
        <w:rPr>
          <w:b/>
          <w:sz w:val="20"/>
        </w:rPr>
      </w:pPr>
    </w:p>
    <w:p w:rsidR="00A141E7" w:rsidRDefault="00A141E7" w:rsidP="00A141E7">
      <w:pPr>
        <w:pStyle w:val="BodyText"/>
        <w:rPr>
          <w:b/>
          <w:sz w:val="20"/>
        </w:rPr>
      </w:pPr>
    </w:p>
    <w:p w:rsidR="00A141E7" w:rsidRDefault="00A141E7" w:rsidP="00A141E7">
      <w:pPr>
        <w:pStyle w:val="BodyText"/>
        <w:rPr>
          <w:b/>
          <w:sz w:val="20"/>
        </w:rPr>
      </w:pPr>
    </w:p>
    <w:p w:rsidR="00A141E7" w:rsidRDefault="00A141E7" w:rsidP="00A141E7">
      <w:pPr>
        <w:pStyle w:val="BodyText"/>
        <w:rPr>
          <w:b/>
          <w:sz w:val="20"/>
        </w:rPr>
      </w:pPr>
    </w:p>
    <w:p w:rsidR="00A141E7" w:rsidRDefault="00A141E7" w:rsidP="00A141E7">
      <w:pPr>
        <w:pStyle w:val="BodyText"/>
        <w:rPr>
          <w:b/>
          <w:sz w:val="20"/>
        </w:rPr>
      </w:pPr>
    </w:p>
    <w:p w:rsidR="00A141E7" w:rsidRDefault="00A141E7" w:rsidP="00A141E7">
      <w:pPr>
        <w:spacing w:line="248" w:lineRule="exact"/>
        <w:sectPr w:rsidR="00A141E7" w:rsidSect="00022718">
          <w:headerReference w:type="even" r:id="rId6"/>
          <w:headerReference w:type="default" r:id="rId7"/>
          <w:footerReference w:type="even" r:id="rId8"/>
          <w:footerReference w:type="default" r:id="rId9"/>
          <w:headerReference w:type="first" r:id="rId10"/>
          <w:pgSz w:w="11910" w:h="16840"/>
          <w:pgMar w:top="1340" w:right="620" w:bottom="780" w:left="1020" w:header="1368" w:footer="590" w:gutter="0"/>
          <w:pgNumType w:start="1"/>
          <w:cols w:space="720"/>
        </w:sectPr>
      </w:pPr>
    </w:p>
    <w:p w:rsidR="00A141E7" w:rsidRDefault="00A141E7" w:rsidP="00A141E7">
      <w:pPr>
        <w:pStyle w:val="Heading1"/>
        <w:numPr>
          <w:ilvl w:val="0"/>
          <w:numId w:val="8"/>
        </w:numPr>
        <w:spacing w:after="240"/>
        <w:ind w:left="426" w:hanging="426"/>
      </w:pPr>
      <w:bookmarkStart w:id="0" w:name="_Toc19603053"/>
      <w:bookmarkStart w:id="1" w:name="_Toc19603586"/>
      <w:bookmarkStart w:id="2" w:name="_Toc103714910"/>
      <w:r>
        <w:lastRenderedPageBreak/>
        <w:t>Introduction</w:t>
      </w:r>
      <w:bookmarkEnd w:id="0"/>
      <w:bookmarkEnd w:id="1"/>
      <w:bookmarkEnd w:id="2"/>
    </w:p>
    <w:p w:rsidR="00A141E7" w:rsidRDefault="00A141E7" w:rsidP="00A141E7">
      <w:pPr>
        <w:pStyle w:val="Heading2"/>
        <w:tabs>
          <w:tab w:val="left" w:pos="833"/>
          <w:tab w:val="left" w:pos="834"/>
        </w:tabs>
        <w:spacing w:before="14"/>
        <w:ind w:hanging="112"/>
      </w:pPr>
      <w:bookmarkStart w:id="3" w:name="_Toc19603054"/>
      <w:bookmarkStart w:id="4" w:name="_Toc19603587"/>
      <w:bookmarkStart w:id="5" w:name="_Toc103714911"/>
      <w:r>
        <w:t xml:space="preserve">1.1 </w:t>
      </w:r>
      <w:r w:rsidRPr="00753735">
        <w:t>Principles and Aims of Health Protection Training</w:t>
      </w:r>
      <w:bookmarkEnd w:id="3"/>
      <w:bookmarkEnd w:id="4"/>
      <w:bookmarkEnd w:id="5"/>
    </w:p>
    <w:p w:rsidR="00A141E7" w:rsidRDefault="00A141E7" w:rsidP="00A141E7">
      <w:pPr>
        <w:pStyle w:val="BodyText"/>
        <w:spacing w:before="255"/>
        <w:ind w:left="112" w:right="758"/>
        <w:jc w:val="both"/>
      </w:pPr>
      <w:r>
        <w:t>Health protection placements introduce Specialty Registrars in Public Health (StR) to this important area of public health practice. Health protection public health focuses on the protection of the public’s health from communicable and environmental hazards by the application of a range of methods including hazard identification, risk assessment and the promotion and implementation of appropriate interventions to reduce risk and promote health.</w:t>
      </w:r>
    </w:p>
    <w:p w:rsidR="00A141E7" w:rsidRDefault="00A141E7" w:rsidP="00A141E7">
      <w:pPr>
        <w:pStyle w:val="BodyText"/>
        <w:ind w:left="112"/>
      </w:pPr>
      <w:r>
        <w:t>Key elements include:</w:t>
      </w:r>
    </w:p>
    <w:p w:rsidR="00A141E7" w:rsidRDefault="00A141E7" w:rsidP="00A141E7">
      <w:pPr>
        <w:pStyle w:val="ListParagraph"/>
        <w:numPr>
          <w:ilvl w:val="1"/>
          <w:numId w:val="4"/>
        </w:numPr>
        <w:tabs>
          <w:tab w:val="left" w:pos="541"/>
        </w:tabs>
        <w:spacing w:before="122" w:line="268" w:lineRule="exact"/>
        <w:ind w:left="540" w:hanging="286"/>
      </w:pPr>
      <w:r>
        <w:t>Disease</w:t>
      </w:r>
      <w:r>
        <w:rPr>
          <w:spacing w:val="-1"/>
        </w:rPr>
        <w:t xml:space="preserve"> </w:t>
      </w:r>
      <w:r>
        <w:t>surveillance</w:t>
      </w:r>
    </w:p>
    <w:p w:rsidR="00A141E7" w:rsidRDefault="00A141E7" w:rsidP="00A141E7">
      <w:pPr>
        <w:pStyle w:val="ListParagraph"/>
        <w:numPr>
          <w:ilvl w:val="1"/>
          <w:numId w:val="4"/>
        </w:numPr>
        <w:tabs>
          <w:tab w:val="left" w:pos="541"/>
        </w:tabs>
        <w:spacing w:line="268" w:lineRule="exact"/>
        <w:ind w:left="540" w:hanging="286"/>
      </w:pPr>
      <w:r>
        <w:t>The investigation and control of communicable</w:t>
      </w:r>
      <w:r>
        <w:rPr>
          <w:spacing w:val="-2"/>
        </w:rPr>
        <w:t xml:space="preserve"> </w:t>
      </w:r>
      <w:r>
        <w:t>diseases</w:t>
      </w:r>
    </w:p>
    <w:p w:rsidR="00A141E7" w:rsidRDefault="00A141E7" w:rsidP="00A141E7">
      <w:pPr>
        <w:pStyle w:val="ListParagraph"/>
        <w:numPr>
          <w:ilvl w:val="1"/>
          <w:numId w:val="4"/>
        </w:numPr>
        <w:tabs>
          <w:tab w:val="left" w:pos="541"/>
        </w:tabs>
        <w:spacing w:before="2" w:line="237" w:lineRule="auto"/>
        <w:ind w:left="540" w:right="1102" w:hanging="286"/>
      </w:pPr>
      <w:r>
        <w:t>The public health aspects of environmental hazards (including chemical, radiological and nuclear hazards)</w:t>
      </w:r>
    </w:p>
    <w:p w:rsidR="00A141E7" w:rsidRDefault="00A141E7" w:rsidP="00A141E7">
      <w:pPr>
        <w:pStyle w:val="ListParagraph"/>
        <w:numPr>
          <w:ilvl w:val="1"/>
          <w:numId w:val="4"/>
        </w:numPr>
        <w:tabs>
          <w:tab w:val="left" w:pos="541"/>
        </w:tabs>
        <w:spacing w:before="1" w:line="268" w:lineRule="exact"/>
        <w:ind w:left="540" w:hanging="286"/>
      </w:pPr>
      <w:r>
        <w:t>Managing ‘deliberate release’</w:t>
      </w:r>
      <w:r>
        <w:rPr>
          <w:spacing w:val="-1"/>
        </w:rPr>
        <w:t xml:space="preserve"> </w:t>
      </w:r>
      <w:r>
        <w:t>incidents</w:t>
      </w:r>
    </w:p>
    <w:p w:rsidR="00A141E7" w:rsidRDefault="00A141E7" w:rsidP="00A141E7">
      <w:pPr>
        <w:pStyle w:val="ListParagraph"/>
        <w:numPr>
          <w:ilvl w:val="1"/>
          <w:numId w:val="4"/>
        </w:numPr>
        <w:tabs>
          <w:tab w:val="left" w:pos="541"/>
        </w:tabs>
        <w:spacing w:line="268" w:lineRule="exact"/>
        <w:ind w:left="540" w:hanging="286"/>
      </w:pPr>
      <w:r>
        <w:t>Health emergency</w:t>
      </w:r>
      <w:r>
        <w:rPr>
          <w:spacing w:val="-3"/>
        </w:rPr>
        <w:t xml:space="preserve"> </w:t>
      </w:r>
      <w:r>
        <w:t>planning</w:t>
      </w:r>
    </w:p>
    <w:p w:rsidR="00A141E7" w:rsidRDefault="00A141E7" w:rsidP="00A141E7">
      <w:pPr>
        <w:pStyle w:val="BodyText"/>
        <w:spacing w:before="255"/>
        <w:ind w:right="758"/>
        <w:jc w:val="both"/>
      </w:pPr>
      <w:r>
        <w:t xml:space="preserve">StRs on placement with health protection will be able to develop a range of skills and knowledge, potentially contributing to their achievement of all areas of Faculty of Public Health (FPH) Public Health Specialty Training Curriculum competencies. It is not possible to achieve the competencies of Key Area 6 without a placement in a Health Protection Team (HPT) and completion of time on call. </w:t>
      </w:r>
    </w:p>
    <w:p w:rsidR="00A141E7" w:rsidRDefault="00A141E7" w:rsidP="00A141E7">
      <w:pPr>
        <w:pStyle w:val="BodyText"/>
        <w:spacing w:before="11"/>
        <w:rPr>
          <w:sz w:val="21"/>
        </w:rPr>
      </w:pPr>
    </w:p>
    <w:p w:rsidR="00A141E7" w:rsidRDefault="00A141E7" w:rsidP="00A141E7">
      <w:pPr>
        <w:pStyle w:val="BodyText"/>
        <w:ind w:right="573"/>
      </w:pPr>
      <w:r>
        <w:t>During training, StRs should gain an understanding of the aetiology and pathogenesis of infectious and environmentally caused diseases, and their management on an individual and population basis. This may require understanding of principles of:</w:t>
      </w:r>
    </w:p>
    <w:p w:rsidR="00A141E7" w:rsidRDefault="00A141E7" w:rsidP="00A141E7">
      <w:pPr>
        <w:pStyle w:val="ListParagraph"/>
        <w:numPr>
          <w:ilvl w:val="1"/>
          <w:numId w:val="4"/>
        </w:numPr>
        <w:tabs>
          <w:tab w:val="left" w:pos="541"/>
        </w:tabs>
        <w:spacing w:before="122" w:line="268" w:lineRule="exact"/>
        <w:ind w:left="540" w:hanging="286"/>
      </w:pPr>
      <w:r>
        <w:t>Epidemiology and</w:t>
      </w:r>
      <w:r>
        <w:rPr>
          <w:spacing w:val="-3"/>
        </w:rPr>
        <w:t xml:space="preserve"> </w:t>
      </w:r>
      <w:r>
        <w:t>statistics</w:t>
      </w:r>
    </w:p>
    <w:p w:rsidR="00A141E7" w:rsidRDefault="00A141E7" w:rsidP="00A141E7">
      <w:pPr>
        <w:pStyle w:val="ListParagraph"/>
        <w:numPr>
          <w:ilvl w:val="1"/>
          <w:numId w:val="4"/>
        </w:numPr>
        <w:tabs>
          <w:tab w:val="left" w:pos="541"/>
        </w:tabs>
        <w:spacing w:line="268" w:lineRule="exact"/>
        <w:ind w:left="540" w:hanging="286"/>
      </w:pPr>
      <w:r>
        <w:t>Information management and</w:t>
      </w:r>
      <w:r>
        <w:rPr>
          <w:spacing w:val="-4"/>
        </w:rPr>
        <w:t xml:space="preserve"> </w:t>
      </w:r>
      <w:r>
        <w:t>surveillance</w:t>
      </w:r>
    </w:p>
    <w:p w:rsidR="00A141E7" w:rsidRDefault="00A141E7" w:rsidP="00A141E7">
      <w:pPr>
        <w:pStyle w:val="ListParagraph"/>
        <w:numPr>
          <w:ilvl w:val="1"/>
          <w:numId w:val="4"/>
        </w:numPr>
        <w:tabs>
          <w:tab w:val="left" w:pos="541"/>
        </w:tabs>
        <w:spacing w:line="268" w:lineRule="exact"/>
        <w:ind w:left="540" w:hanging="286"/>
      </w:pPr>
      <w:r>
        <w:t>Microbiology, virology, and</w:t>
      </w:r>
      <w:r>
        <w:rPr>
          <w:spacing w:val="-1"/>
        </w:rPr>
        <w:t xml:space="preserve"> </w:t>
      </w:r>
      <w:r>
        <w:t>immunology</w:t>
      </w:r>
    </w:p>
    <w:p w:rsidR="00A141E7" w:rsidRDefault="00A141E7" w:rsidP="00A141E7">
      <w:pPr>
        <w:pStyle w:val="ListParagraph"/>
        <w:numPr>
          <w:ilvl w:val="1"/>
          <w:numId w:val="4"/>
        </w:numPr>
        <w:tabs>
          <w:tab w:val="left" w:pos="541"/>
        </w:tabs>
        <w:spacing w:line="268" w:lineRule="exact"/>
        <w:ind w:left="540" w:hanging="286"/>
      </w:pPr>
      <w:r>
        <w:t>Therapeutics</w:t>
      </w:r>
    </w:p>
    <w:p w:rsidR="00A141E7" w:rsidRDefault="00A141E7" w:rsidP="00A141E7">
      <w:pPr>
        <w:pStyle w:val="ListParagraph"/>
        <w:numPr>
          <w:ilvl w:val="1"/>
          <w:numId w:val="4"/>
        </w:numPr>
        <w:tabs>
          <w:tab w:val="left" w:pos="541"/>
        </w:tabs>
        <w:spacing w:line="268" w:lineRule="exact"/>
        <w:ind w:left="540" w:hanging="286"/>
      </w:pPr>
      <w:r>
        <w:t>Non-Infectious Environmental</w:t>
      </w:r>
      <w:r>
        <w:rPr>
          <w:spacing w:val="-1"/>
        </w:rPr>
        <w:t xml:space="preserve"> </w:t>
      </w:r>
      <w:r>
        <w:t>Hazards</w:t>
      </w:r>
    </w:p>
    <w:p w:rsidR="00A141E7" w:rsidRDefault="00A141E7" w:rsidP="00A141E7">
      <w:pPr>
        <w:pStyle w:val="ListParagraph"/>
        <w:numPr>
          <w:ilvl w:val="1"/>
          <w:numId w:val="4"/>
        </w:numPr>
        <w:tabs>
          <w:tab w:val="left" w:pos="541"/>
        </w:tabs>
        <w:ind w:left="540" w:right="1349" w:hanging="286"/>
      </w:pPr>
      <w:r>
        <w:t>Principles of communicable disease control including modification of health behaviour, screening, and</w:t>
      </w:r>
      <w:r>
        <w:rPr>
          <w:spacing w:val="-1"/>
        </w:rPr>
        <w:t xml:space="preserve"> </w:t>
      </w:r>
      <w:r>
        <w:t>vaccination</w:t>
      </w:r>
    </w:p>
    <w:p w:rsidR="00A141E7" w:rsidRDefault="00A141E7" w:rsidP="00A141E7">
      <w:pPr>
        <w:pStyle w:val="ListParagraph"/>
        <w:numPr>
          <w:ilvl w:val="1"/>
          <w:numId w:val="4"/>
        </w:numPr>
        <w:tabs>
          <w:tab w:val="left" w:pos="541"/>
        </w:tabs>
        <w:spacing w:line="268" w:lineRule="exact"/>
        <w:ind w:left="540" w:hanging="286"/>
      </w:pPr>
      <w:r>
        <w:t>Principles of infection</w:t>
      </w:r>
      <w:r>
        <w:rPr>
          <w:spacing w:val="2"/>
        </w:rPr>
        <w:t xml:space="preserve"> </w:t>
      </w:r>
      <w:r>
        <w:t>control</w:t>
      </w:r>
    </w:p>
    <w:p w:rsidR="00A141E7" w:rsidRDefault="00A141E7" w:rsidP="00A141E7">
      <w:pPr>
        <w:pStyle w:val="BodyText"/>
        <w:spacing w:before="8"/>
        <w:rPr>
          <w:sz w:val="21"/>
        </w:rPr>
      </w:pPr>
    </w:p>
    <w:p w:rsidR="00A141E7" w:rsidRDefault="00A141E7" w:rsidP="00A141E7">
      <w:pPr>
        <w:pStyle w:val="BodyText"/>
        <w:ind w:left="112" w:right="684"/>
      </w:pPr>
      <w:r>
        <w:t>StRs will also become competent in</w:t>
      </w:r>
    </w:p>
    <w:p w:rsidR="00A141E7" w:rsidRDefault="00A141E7" w:rsidP="00A141E7">
      <w:pPr>
        <w:pStyle w:val="BodyText"/>
        <w:numPr>
          <w:ilvl w:val="0"/>
          <w:numId w:val="5"/>
        </w:numPr>
        <w:ind w:right="684"/>
      </w:pPr>
      <w:r>
        <w:t>Risk assessment</w:t>
      </w:r>
    </w:p>
    <w:p w:rsidR="00A141E7" w:rsidRDefault="00A141E7" w:rsidP="00A141E7">
      <w:pPr>
        <w:pStyle w:val="BodyText"/>
        <w:numPr>
          <w:ilvl w:val="0"/>
          <w:numId w:val="5"/>
        </w:numPr>
        <w:ind w:right="684"/>
      </w:pPr>
      <w:r>
        <w:t>Clinical history taking</w:t>
      </w:r>
    </w:p>
    <w:p w:rsidR="00A141E7" w:rsidRDefault="00A141E7" w:rsidP="00A141E7">
      <w:pPr>
        <w:pStyle w:val="BodyText"/>
        <w:numPr>
          <w:ilvl w:val="0"/>
          <w:numId w:val="5"/>
        </w:numPr>
        <w:ind w:right="684"/>
      </w:pPr>
      <w:r>
        <w:t>Maintaining accurate and timely records</w:t>
      </w:r>
    </w:p>
    <w:p w:rsidR="00A141E7" w:rsidRDefault="00A141E7" w:rsidP="00A141E7">
      <w:pPr>
        <w:pStyle w:val="BodyText"/>
        <w:numPr>
          <w:ilvl w:val="0"/>
          <w:numId w:val="5"/>
        </w:numPr>
        <w:ind w:right="684"/>
      </w:pPr>
      <w:r>
        <w:t>Confidentiality, safeguarding, and information governance</w:t>
      </w:r>
    </w:p>
    <w:p w:rsidR="00A141E7" w:rsidRDefault="00A141E7" w:rsidP="00A141E7"/>
    <w:p w:rsidR="00A141E7" w:rsidRDefault="00A141E7" w:rsidP="00A141E7">
      <w:pPr>
        <w:pStyle w:val="Heading2"/>
        <w:spacing w:before="240"/>
        <w:ind w:left="0"/>
      </w:pPr>
      <w:bookmarkStart w:id="6" w:name="_Toc19603055"/>
      <w:bookmarkStart w:id="7" w:name="_Toc19603588"/>
      <w:bookmarkStart w:id="8" w:name="_Toc103714912"/>
      <w:r>
        <w:t>1.2 Health Protection Training in the East of England</w:t>
      </w:r>
      <w:bookmarkEnd w:id="6"/>
      <w:bookmarkEnd w:id="7"/>
      <w:bookmarkEnd w:id="8"/>
    </w:p>
    <w:p w:rsidR="00A141E7" w:rsidRDefault="00A141E7" w:rsidP="00A141E7">
      <w:pPr>
        <w:pStyle w:val="BodyText"/>
        <w:spacing w:before="169"/>
        <w:ind w:right="513"/>
      </w:pPr>
      <w:r>
        <w:t>Health protection services in the East of England are provided by the UK Health Security Agency (UKHSA) East of England and currently operate out of two locations; one in the North Zone and one in the South Zone of the East of England Public Health Training geographical region.</w:t>
      </w:r>
    </w:p>
    <w:p w:rsidR="00A141E7" w:rsidRPr="00BE2A25" w:rsidRDefault="00A141E7" w:rsidP="00A141E7">
      <w:pPr>
        <w:pStyle w:val="BodyText"/>
        <w:spacing w:before="169"/>
        <w:ind w:right="513"/>
      </w:pPr>
      <w:r w:rsidRPr="00BE2A25">
        <w:t xml:space="preserve">The area covered by </w:t>
      </w:r>
      <w:r>
        <w:t>UKHSA</w:t>
      </w:r>
      <w:r w:rsidRPr="00BE2A25">
        <w:t xml:space="preserve"> </w:t>
      </w:r>
      <w:r>
        <w:t>East of England</w:t>
      </w:r>
      <w:r w:rsidRPr="00BE2A25">
        <w:t xml:space="preserve"> includes the following local authorities:</w:t>
      </w:r>
    </w:p>
    <w:p w:rsidR="00A141E7" w:rsidRPr="00BE2A25" w:rsidRDefault="00A141E7" w:rsidP="00A141E7">
      <w:pPr>
        <w:pStyle w:val="BodyText"/>
        <w:numPr>
          <w:ilvl w:val="0"/>
          <w:numId w:val="3"/>
        </w:numPr>
        <w:spacing w:before="169"/>
        <w:ind w:right="-42"/>
      </w:pPr>
      <w:r w:rsidRPr="00BE2A25">
        <w:rPr>
          <w:b/>
        </w:rPr>
        <w:t xml:space="preserve">County Councils: </w:t>
      </w:r>
      <w:r w:rsidRPr="00BE2A25">
        <w:t>Hertfordshire, Essex, Norfolk, Suffolk, Cambridgeshire</w:t>
      </w:r>
      <w:r>
        <w:t>.</w:t>
      </w:r>
    </w:p>
    <w:p w:rsidR="00A141E7" w:rsidRDefault="00A141E7" w:rsidP="00A141E7">
      <w:pPr>
        <w:pStyle w:val="BodyText"/>
        <w:numPr>
          <w:ilvl w:val="0"/>
          <w:numId w:val="3"/>
        </w:numPr>
        <w:spacing w:before="169"/>
        <w:ind w:right="513"/>
      </w:pPr>
      <w:r w:rsidRPr="00BE2A25">
        <w:rPr>
          <w:b/>
        </w:rPr>
        <w:lastRenderedPageBreak/>
        <w:t xml:space="preserve">Unitary Authorities: </w:t>
      </w:r>
      <w:r w:rsidRPr="00BE2A25">
        <w:t>Bedford Borough, Central Bedfordshire, Luton, Milton Keynes, Peterborough, Southend, Thurrock</w:t>
      </w:r>
      <w:r>
        <w:t>.</w:t>
      </w:r>
    </w:p>
    <w:p w:rsidR="00A141E7" w:rsidRDefault="00A141E7" w:rsidP="00A141E7">
      <w:pPr>
        <w:pStyle w:val="BodyText"/>
        <w:spacing w:before="169"/>
        <w:ind w:right="513"/>
      </w:pPr>
      <w:r>
        <w:t>I</w:t>
      </w:r>
      <w:r w:rsidRPr="00BE2A25">
        <w:t>t is mandatory for all</w:t>
      </w:r>
      <w:r>
        <w:t xml:space="preserve"> East of England StRs</w:t>
      </w:r>
      <w:r w:rsidRPr="00BE2A25">
        <w:t xml:space="preserve"> to</w:t>
      </w:r>
      <w:r>
        <w:t xml:space="preserve"> spend at least 3 months whole time equivalent (WTE)</w:t>
      </w:r>
      <w:r w:rsidRPr="00BE2A25">
        <w:t xml:space="preserve"> in the East of England Health Protection Team. It </w:t>
      </w:r>
      <w:r>
        <w:t>will not be possible for StR</w:t>
      </w:r>
      <w:r w:rsidRPr="00BE2A25">
        <w:t xml:space="preserve">s to meet curriculum outcomes without such a placement. </w:t>
      </w:r>
      <w:r>
        <w:t xml:space="preserve">StRs should aim to undertake their mandatory health protection placement during ST2. </w:t>
      </w:r>
    </w:p>
    <w:p w:rsidR="00A141E7" w:rsidRPr="00BE2A25" w:rsidRDefault="00A141E7" w:rsidP="00A141E7">
      <w:pPr>
        <w:pStyle w:val="BodyText"/>
        <w:spacing w:before="169"/>
        <w:ind w:right="513"/>
      </w:pPr>
      <w:r>
        <w:t>See Section 2 for further details on organising a placement with the Health Protection Team and the key elements of training an StR can expect to achieve during their placement.</w:t>
      </w:r>
    </w:p>
    <w:p w:rsidR="00A141E7" w:rsidRDefault="00A141E7" w:rsidP="00A141E7">
      <w:pPr>
        <w:pStyle w:val="BodyText"/>
        <w:spacing w:before="168"/>
        <w:ind w:right="623"/>
      </w:pPr>
      <w:r>
        <w:t xml:space="preserve">A comprehensive overview of the Public Health training pathway can be viewed </w:t>
      </w:r>
      <w:hyperlink r:id="rId11" w:history="1">
        <w:r w:rsidRPr="00EC3E6D">
          <w:rPr>
            <w:rStyle w:val="Hyperlink"/>
          </w:rPr>
          <w:t>here</w:t>
        </w:r>
      </w:hyperlink>
      <w:r>
        <w:t xml:space="preserve"> </w:t>
      </w:r>
    </w:p>
    <w:p w:rsidR="00A141E7" w:rsidRDefault="00A141E7" w:rsidP="00A141E7"/>
    <w:p w:rsidR="00A141E7" w:rsidRDefault="00A141E7" w:rsidP="00A141E7">
      <w:pPr>
        <w:pStyle w:val="Heading2"/>
        <w:spacing w:before="240"/>
        <w:ind w:hanging="112"/>
      </w:pPr>
      <w:bookmarkStart w:id="9" w:name="_Toc19603056"/>
      <w:bookmarkStart w:id="10" w:name="_Toc19603589"/>
      <w:bookmarkStart w:id="11" w:name="_Toc103714913"/>
      <w:r>
        <w:t>1.3 Purpose of this policy</w:t>
      </w:r>
      <w:bookmarkEnd w:id="9"/>
      <w:bookmarkEnd w:id="10"/>
      <w:bookmarkEnd w:id="11"/>
    </w:p>
    <w:p w:rsidR="00A141E7" w:rsidRDefault="00A141E7" w:rsidP="00A141E7"/>
    <w:p w:rsidR="00A141E7" w:rsidRDefault="00A141E7" w:rsidP="00A141E7">
      <w:r>
        <w:t>The purpose of this policy is to outline</w:t>
      </w:r>
      <w:r w:rsidRPr="007237DC">
        <w:t xml:space="preserve"> the expectations and requi</w:t>
      </w:r>
      <w:r>
        <w:t>rements of the Lead Employer, Health Education East of England (HEEofE),</w:t>
      </w:r>
      <w:r w:rsidRPr="007237DC">
        <w:t xml:space="preserve"> </w:t>
      </w:r>
      <w:r>
        <w:t>t</w:t>
      </w:r>
      <w:r w:rsidRPr="007237DC">
        <w:t>he East of England Health Protection Team</w:t>
      </w:r>
      <w:r>
        <w:t xml:space="preserve"> (HPT)</w:t>
      </w:r>
      <w:r w:rsidRPr="007237DC">
        <w:t xml:space="preserve"> and East of England </w:t>
      </w:r>
      <w:r>
        <w:t>StRs</w:t>
      </w:r>
      <w:r w:rsidRPr="007237DC">
        <w:t xml:space="preserve"> for undertaking health protection training and</w:t>
      </w:r>
      <w:r>
        <w:t xml:space="preserve"> delivering a</w:t>
      </w:r>
      <w:r w:rsidRPr="007237DC">
        <w:t xml:space="preserve"> safe and effective out of hours service.</w:t>
      </w:r>
    </w:p>
    <w:p w:rsidR="00A141E7" w:rsidRDefault="00A141E7" w:rsidP="00A141E7"/>
    <w:p w:rsidR="00A141E7" w:rsidRDefault="00A141E7" w:rsidP="00A141E7"/>
    <w:p w:rsidR="00A141E7" w:rsidRDefault="00A141E7" w:rsidP="00A141E7"/>
    <w:p w:rsidR="00A141E7" w:rsidRDefault="00A141E7" w:rsidP="00A141E7">
      <w:pPr>
        <w:pStyle w:val="Heading1"/>
        <w:numPr>
          <w:ilvl w:val="0"/>
          <w:numId w:val="4"/>
        </w:numPr>
        <w:ind w:hanging="833"/>
      </w:pPr>
      <w:bookmarkStart w:id="12" w:name="_Toc19603057"/>
      <w:bookmarkStart w:id="13" w:name="_Toc19603590"/>
      <w:bookmarkStart w:id="14" w:name="_Toc103714914"/>
      <w:r>
        <w:t>The Mandatory Health Protection Placement</w:t>
      </w:r>
      <w:bookmarkEnd w:id="12"/>
      <w:bookmarkEnd w:id="13"/>
      <w:bookmarkEnd w:id="14"/>
    </w:p>
    <w:p w:rsidR="00A141E7" w:rsidRDefault="00A141E7" w:rsidP="00A141E7">
      <w:pPr>
        <w:pStyle w:val="BodyText"/>
        <w:spacing w:before="171"/>
        <w:ind w:right="513"/>
      </w:pPr>
      <w:r>
        <w:t>The mandatory health protection attachment should be arranged during ST1 and undertaken during ST2. Each HPT office can take a maximum of 2 StRs undertaking the mandatory placement at a time.</w:t>
      </w:r>
    </w:p>
    <w:p w:rsidR="00A141E7" w:rsidRDefault="00A141E7" w:rsidP="00A141E7">
      <w:pPr>
        <w:pStyle w:val="BodyText"/>
        <w:ind w:right="513"/>
      </w:pPr>
    </w:p>
    <w:p w:rsidR="00A141E7" w:rsidRDefault="00A141E7" w:rsidP="00A141E7">
      <w:pPr>
        <w:pStyle w:val="Heading2"/>
        <w:spacing w:before="240" w:after="240"/>
        <w:ind w:hanging="112"/>
      </w:pPr>
      <w:bookmarkStart w:id="15" w:name="_Toc19603058"/>
      <w:bookmarkStart w:id="16" w:name="_Toc19603591"/>
      <w:bookmarkStart w:id="17" w:name="_Toc103714915"/>
      <w:r>
        <w:t>2.1 Arranging the mandatory health protection placement</w:t>
      </w:r>
      <w:bookmarkEnd w:id="15"/>
      <w:bookmarkEnd w:id="16"/>
      <w:bookmarkEnd w:id="17"/>
    </w:p>
    <w:p w:rsidR="00A141E7" w:rsidRDefault="00A141E7" w:rsidP="00A141E7">
      <w:r>
        <w:t>I</w:t>
      </w:r>
      <w:r w:rsidRPr="006E1D90">
        <w:t xml:space="preserve">n advance of requesting the first placement with the HPT </w:t>
      </w:r>
      <w:r>
        <w:t>the StR</w:t>
      </w:r>
      <w:r w:rsidRPr="006E1D90">
        <w:t xml:space="preserve"> </w:t>
      </w:r>
      <w:r>
        <w:t>should</w:t>
      </w:r>
      <w:r w:rsidRPr="006E1D90">
        <w:t xml:space="preserve"> arr</w:t>
      </w:r>
      <w:r>
        <w:t>ange a pre-</w:t>
      </w:r>
      <w:r w:rsidRPr="00CF05A0">
        <w:t>placement</w:t>
      </w:r>
      <w:r>
        <w:t xml:space="preserve"> </w:t>
      </w:r>
      <w:r w:rsidRPr="00CF05A0">
        <w:t>discussion</w:t>
      </w:r>
      <w:r>
        <w:t xml:space="preserve"> with their educational supervisor. </w:t>
      </w:r>
    </w:p>
    <w:p w:rsidR="00A141E7" w:rsidRDefault="00A141E7" w:rsidP="00A141E7">
      <w:pPr>
        <w:ind w:left="110"/>
      </w:pPr>
    </w:p>
    <w:p w:rsidR="00A141E7" w:rsidRDefault="00A141E7" w:rsidP="00A141E7">
      <w:r>
        <w:t>The purpose of the pre-discussion is to agree the placement duration, learning outcomes and support required during the placement, as well as provisional dates for the placement to take place. The placement should be for a minimum of 3 months WTE.</w:t>
      </w:r>
    </w:p>
    <w:p w:rsidR="00A141E7" w:rsidRDefault="00A141E7" w:rsidP="00A141E7"/>
    <w:p w:rsidR="00A141E7" w:rsidRDefault="00A141E7" w:rsidP="00A141E7">
      <w:r>
        <w:t xml:space="preserve">Following this meeting the trainee should contact the HPT Training Lead to arrange the placement. If the proposed dates are not available, other suitable dates should be identified. The trainee should notify the training programme of the agreed dates via the placement panel process. </w:t>
      </w:r>
    </w:p>
    <w:p w:rsidR="00A141E7" w:rsidRDefault="00A141E7" w:rsidP="00A141E7"/>
    <w:p w:rsidR="00A141E7" w:rsidRDefault="00A141E7" w:rsidP="00A141E7">
      <w:pPr>
        <w:pStyle w:val="BodyText"/>
      </w:pPr>
      <w:r>
        <w:t xml:space="preserve">Approximately 6 weeks before the start of the placement, the StR will be notified of their Clinical Supervisor (CS) whilst at the HPT. The StR should contact the CS to arrange a meeting prior to the start of the placement. This will allow </w:t>
      </w:r>
      <w:r w:rsidRPr="00C8592C">
        <w:t>assess</w:t>
      </w:r>
      <w:r>
        <w:t>ment of</w:t>
      </w:r>
      <w:r w:rsidRPr="00C8592C">
        <w:t xml:space="preserve"> foundation knowledge and skills</w:t>
      </w:r>
      <w:r>
        <w:t>, and identification of</w:t>
      </w:r>
      <w:r w:rsidRPr="00C8592C">
        <w:t xml:space="preserve"> specific learning needs</w:t>
      </w:r>
      <w:r>
        <w:t>, in order to develop a suitable</w:t>
      </w:r>
      <w:r w:rsidRPr="00C8592C">
        <w:t xml:space="preserve"> programme of learning.</w:t>
      </w:r>
    </w:p>
    <w:p w:rsidR="00A141E7" w:rsidRDefault="00A141E7" w:rsidP="00A141E7">
      <w:pPr>
        <w:pStyle w:val="BodyText"/>
      </w:pPr>
    </w:p>
    <w:p w:rsidR="00A141E7" w:rsidRDefault="00A141E7" w:rsidP="00A141E7">
      <w:pPr>
        <w:pStyle w:val="BodyText"/>
      </w:pPr>
    </w:p>
    <w:p w:rsidR="00A141E7" w:rsidRDefault="00A141E7" w:rsidP="00A141E7">
      <w:r>
        <w:br w:type="page"/>
      </w:r>
    </w:p>
    <w:p w:rsidR="00A141E7" w:rsidRDefault="00A141E7" w:rsidP="00A141E7">
      <w:pPr>
        <w:pStyle w:val="Heading2"/>
        <w:numPr>
          <w:ilvl w:val="1"/>
          <w:numId w:val="9"/>
        </w:numPr>
        <w:ind w:hanging="832"/>
      </w:pPr>
      <w:bookmarkStart w:id="18" w:name="_Toc19603060"/>
      <w:bookmarkStart w:id="19" w:name="_Toc19603593"/>
      <w:bookmarkStart w:id="20" w:name="_Toc103714916"/>
      <w:r>
        <w:lastRenderedPageBreak/>
        <w:t>Key elements of the</w:t>
      </w:r>
      <w:r>
        <w:rPr>
          <w:spacing w:val="-7"/>
        </w:rPr>
        <w:t xml:space="preserve"> </w:t>
      </w:r>
      <w:r>
        <w:t>training</w:t>
      </w:r>
      <w:bookmarkEnd w:id="18"/>
      <w:bookmarkEnd w:id="19"/>
      <w:bookmarkEnd w:id="20"/>
    </w:p>
    <w:p w:rsidR="00A141E7" w:rsidRDefault="00A141E7" w:rsidP="00A141E7">
      <w:pPr>
        <w:spacing w:after="240"/>
      </w:pPr>
    </w:p>
    <w:p w:rsidR="00A141E7" w:rsidRDefault="00A141E7" w:rsidP="00A141E7">
      <w:pPr>
        <w:pStyle w:val="Heading3"/>
        <w:numPr>
          <w:ilvl w:val="0"/>
          <w:numId w:val="0"/>
        </w:numPr>
        <w:ind w:left="832" w:hanging="832"/>
      </w:pPr>
      <w:bookmarkStart w:id="21" w:name="_Toc19603061"/>
      <w:bookmarkStart w:id="22" w:name="_Toc19603594"/>
      <w:bookmarkStart w:id="23" w:name="_Toc103714917"/>
      <w:r>
        <w:t>2.2.1 Induction</w:t>
      </w:r>
      <w:bookmarkEnd w:id="21"/>
      <w:bookmarkEnd w:id="22"/>
      <w:bookmarkEnd w:id="23"/>
    </w:p>
    <w:p w:rsidR="00A141E7" w:rsidRDefault="00A141E7" w:rsidP="00A141E7">
      <w:pPr>
        <w:pStyle w:val="BodyText"/>
        <w:spacing w:before="121"/>
        <w:ind w:right="831"/>
      </w:pPr>
      <w:r>
        <w:t>As part of an introduction to the practice of health protection, the trainee will get acquainted with the training location, organisation structures, roles of UKHSA and roles of partner organisations.</w:t>
      </w:r>
    </w:p>
    <w:p w:rsidR="00A141E7" w:rsidRDefault="00A141E7" w:rsidP="00A141E7">
      <w:pPr>
        <w:pStyle w:val="BodyText"/>
        <w:spacing w:before="2"/>
        <w:ind w:hanging="112"/>
      </w:pPr>
    </w:p>
    <w:p w:rsidR="00A141E7" w:rsidRDefault="00A141E7" w:rsidP="00A141E7">
      <w:pPr>
        <w:spacing w:before="1" w:line="252" w:lineRule="exact"/>
        <w:ind w:left="112" w:hanging="112"/>
      </w:pPr>
      <w:r>
        <w:rPr>
          <w:i/>
        </w:rPr>
        <w:t xml:space="preserve">Induction to the office environment and acute response service </w:t>
      </w:r>
      <w:r>
        <w:t>will cover:</w:t>
      </w:r>
    </w:p>
    <w:p w:rsidR="00A141E7" w:rsidRDefault="00A141E7" w:rsidP="00A141E7">
      <w:pPr>
        <w:pStyle w:val="ListParagraph"/>
        <w:numPr>
          <w:ilvl w:val="0"/>
          <w:numId w:val="11"/>
        </w:numPr>
        <w:spacing w:line="268" w:lineRule="exact"/>
        <w:ind w:left="709"/>
      </w:pPr>
      <w:r>
        <w:t>Security of information</w:t>
      </w:r>
    </w:p>
    <w:p w:rsidR="00A141E7" w:rsidRDefault="00A141E7" w:rsidP="00A141E7">
      <w:pPr>
        <w:pStyle w:val="ListParagraph"/>
        <w:numPr>
          <w:ilvl w:val="0"/>
          <w:numId w:val="11"/>
        </w:numPr>
        <w:spacing w:line="268" w:lineRule="exact"/>
        <w:ind w:left="709"/>
      </w:pPr>
      <w:r>
        <w:t>Record keeping and</w:t>
      </w:r>
      <w:r w:rsidRPr="00C26B5B">
        <w:rPr>
          <w:spacing w:val="-3"/>
        </w:rPr>
        <w:t xml:space="preserve"> </w:t>
      </w:r>
      <w:r>
        <w:t>retention</w:t>
      </w:r>
    </w:p>
    <w:p w:rsidR="00A141E7" w:rsidRDefault="00A141E7" w:rsidP="00A141E7">
      <w:pPr>
        <w:pStyle w:val="ListParagraph"/>
        <w:numPr>
          <w:ilvl w:val="0"/>
          <w:numId w:val="11"/>
        </w:numPr>
        <w:spacing w:line="268" w:lineRule="exact"/>
        <w:ind w:left="709"/>
      </w:pPr>
      <w:r>
        <w:t>Health and safety in the office</w:t>
      </w:r>
      <w:r w:rsidRPr="00C26B5B">
        <w:rPr>
          <w:spacing w:val="-6"/>
        </w:rPr>
        <w:t xml:space="preserve"> </w:t>
      </w:r>
      <w:r>
        <w:t>environment</w:t>
      </w:r>
    </w:p>
    <w:p w:rsidR="00A141E7" w:rsidRDefault="00A141E7" w:rsidP="00A141E7">
      <w:pPr>
        <w:pStyle w:val="ListParagraph"/>
        <w:numPr>
          <w:ilvl w:val="0"/>
          <w:numId w:val="6"/>
        </w:numPr>
        <w:tabs>
          <w:tab w:val="left" w:pos="680"/>
        </w:tabs>
        <w:spacing w:line="268" w:lineRule="exact"/>
      </w:pPr>
      <w:r>
        <w:t>Workstation</w:t>
      </w:r>
      <w:r w:rsidRPr="00D92D7C">
        <w:rPr>
          <w:spacing w:val="-3"/>
        </w:rPr>
        <w:t xml:space="preserve"> </w:t>
      </w:r>
      <w:r>
        <w:t>audit</w:t>
      </w:r>
    </w:p>
    <w:p w:rsidR="00A141E7" w:rsidRDefault="00A141E7" w:rsidP="00A141E7">
      <w:pPr>
        <w:pStyle w:val="ListParagraph"/>
        <w:numPr>
          <w:ilvl w:val="0"/>
          <w:numId w:val="6"/>
        </w:numPr>
        <w:tabs>
          <w:tab w:val="left" w:pos="680"/>
        </w:tabs>
        <w:ind w:right="567"/>
      </w:pPr>
      <w:r>
        <w:t>Familiarisation with the acute response service (a phased process covering observation and familiarisation, supervised practice, and independent practice with regular case</w:t>
      </w:r>
      <w:r w:rsidRPr="00D92D7C">
        <w:rPr>
          <w:spacing w:val="-13"/>
        </w:rPr>
        <w:t xml:space="preserve"> </w:t>
      </w:r>
      <w:r>
        <w:t>review)</w:t>
      </w:r>
    </w:p>
    <w:p w:rsidR="00A141E7" w:rsidRDefault="00A141E7" w:rsidP="00A141E7">
      <w:pPr>
        <w:pStyle w:val="ListParagraph"/>
        <w:numPr>
          <w:ilvl w:val="0"/>
          <w:numId w:val="6"/>
        </w:numPr>
        <w:tabs>
          <w:tab w:val="left" w:pos="680"/>
        </w:tabs>
        <w:ind w:right="567"/>
      </w:pPr>
      <w:r w:rsidRPr="00395CE5">
        <w:rPr>
          <w:bCs/>
        </w:rPr>
        <w:t xml:space="preserve">Completion of mandatory online training </w:t>
      </w:r>
      <w:r>
        <w:t xml:space="preserve">(aligned with mandatory training as required by the Lead Employer). </w:t>
      </w:r>
    </w:p>
    <w:p w:rsidR="00A141E7" w:rsidRDefault="00A141E7" w:rsidP="00A141E7">
      <w:pPr>
        <w:pStyle w:val="ListParagraph"/>
        <w:tabs>
          <w:tab w:val="left" w:pos="680"/>
        </w:tabs>
        <w:ind w:left="720" w:right="567" w:firstLine="0"/>
      </w:pPr>
    </w:p>
    <w:p w:rsidR="00A141E7" w:rsidRDefault="00A141E7" w:rsidP="00A141E7">
      <w:pPr>
        <w:pStyle w:val="BodyText"/>
        <w:ind w:right="561"/>
      </w:pPr>
      <w:r>
        <w:rPr>
          <w:i/>
        </w:rPr>
        <w:t xml:space="preserve">Induction to health protection practice </w:t>
      </w:r>
      <w:r>
        <w:t xml:space="preserve">is an essential component of the on-call training to obtain an understanding of the control of communicable and non-communicable diseases. </w:t>
      </w:r>
    </w:p>
    <w:p w:rsidR="00A141E7" w:rsidRDefault="00A141E7" w:rsidP="00A141E7">
      <w:pPr>
        <w:pStyle w:val="BodyText"/>
        <w:spacing w:after="240"/>
        <w:rPr>
          <w:sz w:val="21"/>
        </w:rPr>
      </w:pPr>
    </w:p>
    <w:p w:rsidR="00A141E7" w:rsidRDefault="00A141E7" w:rsidP="00A141E7">
      <w:pPr>
        <w:pStyle w:val="Heading3"/>
        <w:numPr>
          <w:ilvl w:val="0"/>
          <w:numId w:val="0"/>
        </w:numPr>
        <w:ind w:left="832" w:hanging="832"/>
      </w:pPr>
      <w:bookmarkStart w:id="24" w:name="_Toc19603062"/>
      <w:bookmarkStart w:id="25" w:name="_Toc19603595"/>
      <w:bookmarkStart w:id="26" w:name="_Toc103714918"/>
      <w:r>
        <w:t>2.2.2 Day-to-day work at the</w:t>
      </w:r>
      <w:r>
        <w:rPr>
          <w:spacing w:val="-11"/>
        </w:rPr>
        <w:t xml:space="preserve"> </w:t>
      </w:r>
      <w:r>
        <w:t>HPT</w:t>
      </w:r>
      <w:bookmarkEnd w:id="24"/>
      <w:bookmarkEnd w:id="25"/>
      <w:bookmarkEnd w:id="26"/>
    </w:p>
    <w:p w:rsidR="00A141E7" w:rsidRDefault="00A141E7" w:rsidP="00A141E7">
      <w:pPr>
        <w:pStyle w:val="BodyText"/>
        <w:spacing w:before="121"/>
        <w:ind w:right="562"/>
      </w:pPr>
      <w:r>
        <w:t xml:space="preserve">StRs will be an integral part of the team and participate in the “acute response service” – answering calls and handling queries from the public, GPs, hospital staff and others – once they have completed the induction phase. </w:t>
      </w:r>
      <w:r w:rsidRPr="00E14187">
        <w:rPr>
          <w:b/>
        </w:rPr>
        <w:t>This “acute service” experience is the most important part of the attachment as it allows the trainee to develop an understanding of the principles and processes that underpin health protection work.</w:t>
      </w:r>
    </w:p>
    <w:p w:rsidR="00A141E7" w:rsidRDefault="00A141E7" w:rsidP="00A141E7">
      <w:pPr>
        <w:pStyle w:val="BodyText"/>
        <w:spacing w:before="1"/>
      </w:pPr>
    </w:p>
    <w:p w:rsidR="00A141E7" w:rsidRDefault="00A141E7" w:rsidP="00A141E7">
      <w:pPr>
        <w:pStyle w:val="BodyText"/>
        <w:ind w:right="746"/>
      </w:pPr>
      <w:r>
        <w:t xml:space="preserve">It will also develop competencies and skills for undertaking supervised first on-call duties, as well as provide preparation for the on-call assessment. StRs should aim to spend the equivalent of 2-3 days a week participating in the acute response service during their placement. </w:t>
      </w:r>
    </w:p>
    <w:p w:rsidR="00A141E7" w:rsidRDefault="00A141E7" w:rsidP="00A141E7">
      <w:pPr>
        <w:pStyle w:val="BodyText"/>
        <w:ind w:right="746"/>
      </w:pPr>
    </w:p>
    <w:p w:rsidR="00A141E7" w:rsidRDefault="00A141E7" w:rsidP="00A141E7">
      <w:pPr>
        <w:pStyle w:val="BodyText"/>
        <w:ind w:right="746"/>
      </w:pPr>
      <w:r>
        <w:t>StRs must maintain a reflective logbook of their acute response service activity during their placement to support ongoing development and sign-off of Key Area 6 learning outcomes.</w:t>
      </w:r>
    </w:p>
    <w:p w:rsidR="00A141E7" w:rsidRDefault="00A141E7" w:rsidP="00A141E7">
      <w:pPr>
        <w:pStyle w:val="BodyText"/>
        <w:spacing w:before="15"/>
        <w:ind w:right="513"/>
      </w:pPr>
    </w:p>
    <w:p w:rsidR="00A141E7" w:rsidRDefault="00A141E7" w:rsidP="00A141E7">
      <w:pPr>
        <w:pStyle w:val="BodyText"/>
        <w:spacing w:before="15"/>
        <w:ind w:right="513"/>
      </w:pPr>
      <w:r>
        <w:t>In addition to duty work, there may also be opportunities to be involved in outbreak investigations, incident management, emergency planning work, strategic health protection work, and academic health protection.</w:t>
      </w:r>
    </w:p>
    <w:p w:rsidR="00A141E7" w:rsidRDefault="00A141E7" w:rsidP="00A141E7">
      <w:pPr>
        <w:pStyle w:val="BodyText"/>
        <w:spacing w:after="240"/>
        <w:rPr>
          <w:sz w:val="21"/>
        </w:rPr>
      </w:pPr>
    </w:p>
    <w:p w:rsidR="00A141E7" w:rsidRDefault="00A141E7" w:rsidP="00A141E7">
      <w:pPr>
        <w:pStyle w:val="Heading3"/>
        <w:numPr>
          <w:ilvl w:val="0"/>
          <w:numId w:val="0"/>
        </w:numPr>
        <w:ind w:left="832" w:hanging="832"/>
      </w:pPr>
      <w:bookmarkStart w:id="27" w:name="_Toc19603063"/>
      <w:bookmarkStart w:id="28" w:name="_Toc19603596"/>
      <w:bookmarkStart w:id="29" w:name="_Toc103714919"/>
      <w:r>
        <w:t>2.2.3 Workstreams and projects</w:t>
      </w:r>
      <w:bookmarkEnd w:id="27"/>
      <w:bookmarkEnd w:id="28"/>
      <w:bookmarkEnd w:id="29"/>
    </w:p>
    <w:p w:rsidR="00A141E7" w:rsidRDefault="00A141E7" w:rsidP="00A141E7">
      <w:pPr>
        <w:pStyle w:val="BodyText"/>
        <w:spacing w:before="123"/>
        <w:ind w:right="501"/>
      </w:pPr>
      <w:r>
        <w:t>StRs will be supported in joining workstreams and taking on projects and pieces of work appropriate to their stage in training and learning needs. For example, local and regional audits, developing leaflets for health professionals and the public on common infectious diseases, updating on call documents and standard operating procedures (SOPs), needs assessment, production of academic posters. The trainee will be supervised by the Consultant and/or Health Protection Practitioner leading on that area of work.</w:t>
      </w:r>
    </w:p>
    <w:p w:rsidR="00A141E7" w:rsidRDefault="00A141E7" w:rsidP="00A141E7">
      <w:pPr>
        <w:pStyle w:val="BodyText"/>
        <w:spacing w:after="240"/>
        <w:rPr>
          <w:sz w:val="21"/>
        </w:rPr>
      </w:pPr>
    </w:p>
    <w:p w:rsidR="00A141E7" w:rsidRDefault="00A141E7" w:rsidP="00A141E7">
      <w:pPr>
        <w:pStyle w:val="Heading3"/>
        <w:numPr>
          <w:ilvl w:val="0"/>
          <w:numId w:val="0"/>
        </w:numPr>
        <w:ind w:left="832" w:hanging="832"/>
      </w:pPr>
      <w:bookmarkStart w:id="30" w:name="_Toc19603064"/>
      <w:bookmarkStart w:id="31" w:name="_Toc19603597"/>
      <w:bookmarkStart w:id="32" w:name="_Toc103714920"/>
      <w:r>
        <w:lastRenderedPageBreak/>
        <w:t>2.2.4 Teaching and</w:t>
      </w:r>
      <w:r>
        <w:rPr>
          <w:spacing w:val="-3"/>
        </w:rPr>
        <w:t xml:space="preserve"> </w:t>
      </w:r>
      <w:r>
        <w:t>training</w:t>
      </w:r>
      <w:bookmarkEnd w:id="30"/>
      <w:bookmarkEnd w:id="31"/>
      <w:bookmarkEnd w:id="32"/>
    </w:p>
    <w:p w:rsidR="00A141E7" w:rsidRDefault="00A141E7" w:rsidP="00A141E7">
      <w:pPr>
        <w:pStyle w:val="ListParagraph"/>
        <w:numPr>
          <w:ilvl w:val="3"/>
          <w:numId w:val="2"/>
        </w:numPr>
        <w:tabs>
          <w:tab w:val="left" w:pos="680"/>
        </w:tabs>
        <w:spacing w:before="121" w:line="269" w:lineRule="exact"/>
        <w:ind w:hanging="283"/>
      </w:pPr>
      <w:r>
        <w:t>Participation in relevant clinical meetings and in regular case/incident review</w:t>
      </w:r>
      <w:r>
        <w:rPr>
          <w:spacing w:val="-19"/>
        </w:rPr>
        <w:t xml:space="preserve"> </w:t>
      </w:r>
      <w:r>
        <w:t>meetings.</w:t>
      </w:r>
    </w:p>
    <w:p w:rsidR="00A141E7" w:rsidRDefault="00A141E7" w:rsidP="00A141E7">
      <w:pPr>
        <w:pStyle w:val="ListParagraph"/>
        <w:numPr>
          <w:ilvl w:val="3"/>
          <w:numId w:val="2"/>
        </w:numPr>
        <w:tabs>
          <w:tab w:val="left" w:pos="680"/>
        </w:tabs>
        <w:spacing w:before="2" w:line="237" w:lineRule="auto"/>
        <w:ind w:right="620" w:hanging="283"/>
      </w:pPr>
      <w:r>
        <w:t>Access to ongoing educational sessions organised by the HPT. These may be 1:1 or as part of the</w:t>
      </w:r>
      <w:r>
        <w:rPr>
          <w:spacing w:val="-1"/>
        </w:rPr>
        <w:t xml:space="preserve"> </w:t>
      </w:r>
      <w:r>
        <w:t>team.</w:t>
      </w:r>
    </w:p>
    <w:p w:rsidR="00A141E7" w:rsidRDefault="00A141E7" w:rsidP="00A141E7">
      <w:pPr>
        <w:pStyle w:val="ListParagraph"/>
        <w:numPr>
          <w:ilvl w:val="3"/>
          <w:numId w:val="2"/>
        </w:numPr>
        <w:tabs>
          <w:tab w:val="left" w:pos="680"/>
        </w:tabs>
        <w:spacing w:before="2" w:line="268" w:lineRule="exact"/>
        <w:ind w:hanging="283"/>
      </w:pPr>
      <w:r>
        <w:t>Opportunities for shared learning through on-call teleconferences and study</w:t>
      </w:r>
      <w:r>
        <w:rPr>
          <w:spacing w:val="-19"/>
        </w:rPr>
        <w:t xml:space="preserve"> </w:t>
      </w:r>
      <w:r>
        <w:t>days.</w:t>
      </w:r>
    </w:p>
    <w:p w:rsidR="00A141E7" w:rsidRDefault="00A141E7" w:rsidP="00A141E7">
      <w:pPr>
        <w:pStyle w:val="ListParagraph"/>
        <w:numPr>
          <w:ilvl w:val="3"/>
          <w:numId w:val="2"/>
        </w:numPr>
        <w:tabs>
          <w:tab w:val="left" w:pos="680"/>
        </w:tabs>
        <w:spacing w:line="268" w:lineRule="exact"/>
        <w:ind w:hanging="283"/>
      </w:pPr>
      <w:r>
        <w:t>Attendance at emergency planning</w:t>
      </w:r>
      <w:r>
        <w:rPr>
          <w:spacing w:val="-4"/>
        </w:rPr>
        <w:t xml:space="preserve"> </w:t>
      </w:r>
      <w:r>
        <w:t>exercises.</w:t>
      </w:r>
    </w:p>
    <w:p w:rsidR="00A141E7" w:rsidRDefault="00A141E7" w:rsidP="00A141E7">
      <w:pPr>
        <w:pStyle w:val="ListParagraph"/>
        <w:numPr>
          <w:ilvl w:val="3"/>
          <w:numId w:val="2"/>
        </w:numPr>
        <w:tabs>
          <w:tab w:val="left" w:pos="680"/>
        </w:tabs>
        <w:spacing w:before="2" w:line="237" w:lineRule="auto"/>
        <w:ind w:right="1537" w:hanging="283"/>
      </w:pPr>
      <w:r>
        <w:t>UKHSA also run national courses (NB: course fees will not be met by</w:t>
      </w:r>
      <w:r>
        <w:rPr>
          <w:spacing w:val="-19"/>
        </w:rPr>
        <w:t xml:space="preserve"> </w:t>
      </w:r>
      <w:r>
        <w:t>UKHSA).</w:t>
      </w:r>
    </w:p>
    <w:p w:rsidR="00A141E7" w:rsidRDefault="00A141E7" w:rsidP="00A141E7">
      <w:pPr>
        <w:pStyle w:val="BodyText"/>
        <w:spacing w:after="240"/>
        <w:rPr>
          <w:sz w:val="21"/>
        </w:rPr>
      </w:pPr>
    </w:p>
    <w:p w:rsidR="00A141E7" w:rsidRDefault="00A141E7" w:rsidP="00A141E7">
      <w:pPr>
        <w:pStyle w:val="Heading3"/>
        <w:numPr>
          <w:ilvl w:val="0"/>
          <w:numId w:val="0"/>
        </w:numPr>
        <w:ind w:left="832" w:hanging="832"/>
      </w:pPr>
      <w:bookmarkStart w:id="33" w:name="_Toc19603065"/>
      <w:bookmarkStart w:id="34" w:name="_Toc19603598"/>
      <w:bookmarkStart w:id="35" w:name="_Toc103714921"/>
      <w:r>
        <w:t>2.2.5 Expected outcomes of generalist HP</w:t>
      </w:r>
      <w:r>
        <w:rPr>
          <w:spacing w:val="-7"/>
        </w:rPr>
        <w:t xml:space="preserve"> </w:t>
      </w:r>
      <w:r>
        <w:t>training</w:t>
      </w:r>
      <w:bookmarkEnd w:id="33"/>
      <w:bookmarkEnd w:id="34"/>
      <w:bookmarkEnd w:id="35"/>
    </w:p>
    <w:p w:rsidR="00A141E7" w:rsidRDefault="00A141E7" w:rsidP="00A141E7">
      <w:pPr>
        <w:pStyle w:val="BodyText"/>
        <w:spacing w:before="124"/>
        <w:ind w:right="733"/>
      </w:pPr>
      <w:r>
        <w:t xml:space="preserve">Following the three-month attachment, </w:t>
      </w:r>
      <w:r>
        <w:rPr>
          <w:b/>
        </w:rPr>
        <w:t>StRs</w:t>
      </w:r>
      <w:r w:rsidRPr="00753735">
        <w:rPr>
          <w:b/>
        </w:rPr>
        <w:t xml:space="preserve"> would be expected to have developed an understanding of the principles of health protection work both in and out of hours</w:t>
      </w:r>
      <w:r>
        <w:t>. In addition, the following topic areas should be covered (many of these are reflected in KA6 learning outcomes):</w:t>
      </w:r>
    </w:p>
    <w:p w:rsidR="00A141E7" w:rsidRDefault="00A141E7" w:rsidP="00A141E7">
      <w:pPr>
        <w:pStyle w:val="BodyText"/>
        <w:spacing w:after="240"/>
      </w:pPr>
    </w:p>
    <w:tbl>
      <w:tblPr>
        <w:tblW w:w="9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8"/>
        <w:gridCol w:w="6519"/>
      </w:tblGrid>
      <w:tr w:rsidR="00A141E7" w:rsidTr="006909A2">
        <w:trPr>
          <w:trHeight w:val="395"/>
        </w:trPr>
        <w:tc>
          <w:tcPr>
            <w:tcW w:w="3238" w:type="dxa"/>
          </w:tcPr>
          <w:p w:rsidR="00A141E7" w:rsidRDefault="00A141E7" w:rsidP="006909A2">
            <w:pPr>
              <w:pStyle w:val="TableParagraph"/>
              <w:spacing w:before="55"/>
              <w:rPr>
                <w:b/>
              </w:rPr>
            </w:pPr>
            <w:r>
              <w:rPr>
                <w:b/>
              </w:rPr>
              <w:t>Topic area</w:t>
            </w:r>
          </w:p>
        </w:tc>
        <w:tc>
          <w:tcPr>
            <w:tcW w:w="6519" w:type="dxa"/>
          </w:tcPr>
          <w:p w:rsidR="00A141E7" w:rsidRDefault="00A141E7" w:rsidP="006909A2">
            <w:pPr>
              <w:pStyle w:val="TableParagraph"/>
              <w:spacing w:before="55"/>
              <w:rPr>
                <w:b/>
              </w:rPr>
            </w:pPr>
            <w:r>
              <w:rPr>
                <w:b/>
              </w:rPr>
              <w:t>Examples (not exhaustive)</w:t>
            </w:r>
          </w:p>
        </w:tc>
      </w:tr>
      <w:tr w:rsidR="00A141E7" w:rsidTr="006909A2">
        <w:trPr>
          <w:trHeight w:val="794"/>
        </w:trPr>
        <w:tc>
          <w:tcPr>
            <w:tcW w:w="3238" w:type="dxa"/>
          </w:tcPr>
          <w:p w:rsidR="00A141E7" w:rsidRDefault="00A141E7" w:rsidP="006909A2">
            <w:pPr>
              <w:pStyle w:val="TableParagraph"/>
              <w:spacing w:line="242" w:lineRule="auto"/>
              <w:ind w:right="552"/>
            </w:pPr>
            <w:r>
              <w:t>Communicable disease surveillance</w:t>
            </w:r>
          </w:p>
        </w:tc>
        <w:tc>
          <w:tcPr>
            <w:tcW w:w="6519" w:type="dxa"/>
          </w:tcPr>
          <w:p w:rsidR="00A141E7" w:rsidRDefault="00A141E7" w:rsidP="006909A2">
            <w:pPr>
              <w:pStyle w:val="TableParagraph"/>
              <w:ind w:right="175"/>
            </w:pPr>
            <w:r>
              <w:t>Routine surveillance; COVER data; disease notification; laboratory reporting; enhanced disease surveillance (e.g. TB); non-routine surveillance (e.g. the use of syndromic surveillance)</w:t>
            </w:r>
          </w:p>
        </w:tc>
      </w:tr>
      <w:tr w:rsidR="00A141E7" w:rsidTr="006909A2">
        <w:trPr>
          <w:trHeight w:val="1305"/>
        </w:trPr>
        <w:tc>
          <w:tcPr>
            <w:tcW w:w="3238" w:type="dxa"/>
          </w:tcPr>
          <w:p w:rsidR="00A141E7" w:rsidRDefault="00A141E7" w:rsidP="006909A2">
            <w:pPr>
              <w:pStyle w:val="TableParagraph"/>
              <w:spacing w:line="242" w:lineRule="auto"/>
              <w:ind w:right="332"/>
            </w:pPr>
            <w:r>
              <w:t>Managing common public health problems</w:t>
            </w:r>
          </w:p>
        </w:tc>
        <w:tc>
          <w:tcPr>
            <w:tcW w:w="6519" w:type="dxa"/>
          </w:tcPr>
          <w:p w:rsidR="00A141E7" w:rsidRDefault="00A141E7" w:rsidP="006909A2">
            <w:pPr>
              <w:pStyle w:val="TableParagraph"/>
              <w:tabs>
                <w:tab w:val="left" w:pos="6313"/>
              </w:tabs>
              <w:ind w:right="205"/>
            </w:pPr>
            <w:r>
              <w:t>Meningitis; gastroenteritis (especially E. coli O157 / VTEC, norovirus), single cases and as outbreaks; tuberculosis; blood borne viruses; invasive group A streptococcus infection; PVL- Staphylococcus aureus; rash illness (e.g. measles), including in pregnancy; environmental issues (e.g. fire)</w:t>
            </w:r>
          </w:p>
        </w:tc>
      </w:tr>
      <w:tr w:rsidR="00A141E7" w:rsidTr="006909A2">
        <w:trPr>
          <w:trHeight w:val="565"/>
        </w:trPr>
        <w:tc>
          <w:tcPr>
            <w:tcW w:w="3238" w:type="dxa"/>
          </w:tcPr>
          <w:p w:rsidR="00A141E7" w:rsidRDefault="00A141E7" w:rsidP="006909A2">
            <w:pPr>
              <w:pStyle w:val="TableParagraph"/>
              <w:ind w:right="148"/>
            </w:pPr>
            <w:r>
              <w:t>Managing less common but important problems</w:t>
            </w:r>
          </w:p>
        </w:tc>
        <w:tc>
          <w:tcPr>
            <w:tcW w:w="6519" w:type="dxa"/>
          </w:tcPr>
          <w:p w:rsidR="00A141E7" w:rsidRDefault="00A141E7" w:rsidP="006909A2">
            <w:pPr>
              <w:pStyle w:val="TableParagraph"/>
              <w:spacing w:line="250" w:lineRule="exact"/>
            </w:pPr>
            <w:r>
              <w:t>Legionella; rabies; diphtheria; botulism</w:t>
            </w:r>
          </w:p>
        </w:tc>
      </w:tr>
      <w:tr w:rsidR="00A141E7" w:rsidTr="006909A2">
        <w:trPr>
          <w:trHeight w:val="340"/>
        </w:trPr>
        <w:tc>
          <w:tcPr>
            <w:tcW w:w="3238" w:type="dxa"/>
          </w:tcPr>
          <w:p w:rsidR="00A141E7" w:rsidRDefault="00A141E7" w:rsidP="006909A2">
            <w:pPr>
              <w:pStyle w:val="TableParagraph"/>
              <w:spacing w:line="250" w:lineRule="exact"/>
            </w:pPr>
            <w:r>
              <w:t>Public Health Law</w:t>
            </w:r>
          </w:p>
        </w:tc>
        <w:tc>
          <w:tcPr>
            <w:tcW w:w="6519" w:type="dxa"/>
          </w:tcPr>
          <w:p w:rsidR="00A141E7" w:rsidRDefault="00A141E7" w:rsidP="006909A2">
            <w:pPr>
              <w:pStyle w:val="TableParagraph"/>
              <w:spacing w:line="250" w:lineRule="exact"/>
            </w:pPr>
            <w:r>
              <w:t>Application of Part 2A orders</w:t>
            </w:r>
          </w:p>
        </w:tc>
      </w:tr>
      <w:tr w:rsidR="00A141E7" w:rsidTr="006909A2">
        <w:trPr>
          <w:trHeight w:val="510"/>
        </w:trPr>
        <w:tc>
          <w:tcPr>
            <w:tcW w:w="3238" w:type="dxa"/>
          </w:tcPr>
          <w:p w:rsidR="00A141E7" w:rsidRDefault="00A141E7" w:rsidP="006909A2">
            <w:pPr>
              <w:pStyle w:val="TableParagraph"/>
              <w:spacing w:before="2" w:line="252" w:lineRule="exact"/>
              <w:ind w:right="760"/>
            </w:pPr>
            <w:r>
              <w:t>Principles of infection control</w:t>
            </w:r>
          </w:p>
        </w:tc>
        <w:tc>
          <w:tcPr>
            <w:tcW w:w="6519" w:type="dxa"/>
          </w:tcPr>
          <w:p w:rsidR="00A141E7" w:rsidRDefault="00A141E7" w:rsidP="006909A2">
            <w:pPr>
              <w:pStyle w:val="TableParagraph"/>
              <w:spacing w:line="250" w:lineRule="exact"/>
            </w:pPr>
            <w:r>
              <w:t>Both in hospital / healthcare settings and in the community</w:t>
            </w:r>
          </w:p>
        </w:tc>
      </w:tr>
      <w:tr w:rsidR="00A141E7" w:rsidTr="006909A2">
        <w:trPr>
          <w:trHeight w:val="566"/>
        </w:trPr>
        <w:tc>
          <w:tcPr>
            <w:tcW w:w="3238" w:type="dxa"/>
          </w:tcPr>
          <w:p w:rsidR="00A141E7" w:rsidRDefault="00A141E7" w:rsidP="006909A2">
            <w:pPr>
              <w:pStyle w:val="TableParagraph"/>
              <w:spacing w:line="251" w:lineRule="exact"/>
            </w:pPr>
            <w:r>
              <w:t>Environmental hazards</w:t>
            </w:r>
          </w:p>
        </w:tc>
        <w:tc>
          <w:tcPr>
            <w:tcW w:w="6519" w:type="dxa"/>
          </w:tcPr>
          <w:p w:rsidR="00A141E7" w:rsidRDefault="00A141E7" w:rsidP="006909A2">
            <w:pPr>
              <w:pStyle w:val="TableParagraph"/>
              <w:ind w:right="780"/>
            </w:pPr>
            <w:r>
              <w:t>Including chemical hazards, routes of exposure and basic toxicology</w:t>
            </w:r>
          </w:p>
        </w:tc>
      </w:tr>
      <w:tr w:rsidR="00A141E7" w:rsidTr="006909A2">
        <w:trPr>
          <w:trHeight w:val="565"/>
        </w:trPr>
        <w:tc>
          <w:tcPr>
            <w:tcW w:w="3238" w:type="dxa"/>
          </w:tcPr>
          <w:p w:rsidR="00A141E7" w:rsidRDefault="00A141E7" w:rsidP="006909A2">
            <w:pPr>
              <w:pStyle w:val="TableParagraph"/>
              <w:spacing w:line="250" w:lineRule="exact"/>
            </w:pPr>
            <w:r>
              <w:t>Outbreak management</w:t>
            </w:r>
          </w:p>
        </w:tc>
        <w:tc>
          <w:tcPr>
            <w:tcW w:w="6519" w:type="dxa"/>
          </w:tcPr>
          <w:p w:rsidR="00A141E7" w:rsidRDefault="00A141E7" w:rsidP="006909A2">
            <w:pPr>
              <w:pStyle w:val="TableParagraph"/>
              <w:spacing w:line="242" w:lineRule="auto"/>
              <w:ind w:right="327"/>
            </w:pPr>
            <w:r>
              <w:t>Including the role of UKHSA in relation to other agencies, the role and nature of the IMT and principles of outbreak control</w:t>
            </w:r>
          </w:p>
        </w:tc>
      </w:tr>
      <w:tr w:rsidR="00A141E7" w:rsidTr="006909A2">
        <w:trPr>
          <w:trHeight w:val="568"/>
        </w:trPr>
        <w:tc>
          <w:tcPr>
            <w:tcW w:w="3238" w:type="dxa"/>
          </w:tcPr>
          <w:p w:rsidR="00A141E7" w:rsidRDefault="00A141E7" w:rsidP="006909A2">
            <w:pPr>
              <w:pStyle w:val="TableParagraph"/>
            </w:pPr>
            <w:r>
              <w:t>Emergency Planning</w:t>
            </w:r>
          </w:p>
        </w:tc>
        <w:tc>
          <w:tcPr>
            <w:tcW w:w="6519" w:type="dxa"/>
          </w:tcPr>
          <w:p w:rsidR="00A141E7" w:rsidRDefault="00A141E7" w:rsidP="006909A2">
            <w:pPr>
              <w:pStyle w:val="TableParagraph"/>
              <w:ind w:right="253"/>
            </w:pPr>
            <w:r>
              <w:t>Knowledge of relevant planning and operational arrangements, and the principles of managing a major incident</w:t>
            </w:r>
          </w:p>
        </w:tc>
      </w:tr>
      <w:tr w:rsidR="00A141E7" w:rsidTr="006909A2">
        <w:trPr>
          <w:trHeight w:val="793"/>
        </w:trPr>
        <w:tc>
          <w:tcPr>
            <w:tcW w:w="3238" w:type="dxa"/>
          </w:tcPr>
          <w:p w:rsidR="00A141E7" w:rsidRDefault="00A141E7" w:rsidP="006909A2">
            <w:pPr>
              <w:pStyle w:val="TableParagraph"/>
              <w:ind w:right="307"/>
            </w:pPr>
            <w:r>
              <w:t>Commissioning, delivery and organisation of health protection services</w:t>
            </w:r>
          </w:p>
        </w:tc>
        <w:tc>
          <w:tcPr>
            <w:tcW w:w="6519" w:type="dxa"/>
          </w:tcPr>
          <w:p w:rsidR="00A141E7" w:rsidRDefault="00A141E7" w:rsidP="006909A2">
            <w:pPr>
              <w:pStyle w:val="TableParagraph"/>
              <w:spacing w:line="250" w:lineRule="exact"/>
            </w:pPr>
            <w:r>
              <w:t>Sexual health; immunisations; tuberculosis</w:t>
            </w:r>
          </w:p>
        </w:tc>
      </w:tr>
      <w:tr w:rsidR="00A141E7" w:rsidTr="006909A2">
        <w:trPr>
          <w:trHeight w:val="849"/>
        </w:trPr>
        <w:tc>
          <w:tcPr>
            <w:tcW w:w="3238" w:type="dxa"/>
          </w:tcPr>
          <w:p w:rsidR="00A141E7" w:rsidRDefault="00A141E7" w:rsidP="006909A2">
            <w:pPr>
              <w:pStyle w:val="TableParagraph"/>
              <w:ind w:right="258"/>
            </w:pPr>
            <w:r>
              <w:t>Partner agencies and their relationship with UKHSA</w:t>
            </w:r>
          </w:p>
        </w:tc>
        <w:tc>
          <w:tcPr>
            <w:tcW w:w="6519" w:type="dxa"/>
          </w:tcPr>
          <w:p w:rsidR="00A141E7" w:rsidRDefault="00A141E7" w:rsidP="006909A2">
            <w:pPr>
              <w:pStyle w:val="TableParagraph"/>
              <w:ind w:right="181"/>
            </w:pPr>
            <w:r>
              <w:t>Including Directors of Public Health and other local authority PH staff, other sections of UKHSA, local authority EHDs, water companies, Food Standards Agency, Environment Agency</w:t>
            </w:r>
          </w:p>
        </w:tc>
      </w:tr>
    </w:tbl>
    <w:p w:rsidR="00A141E7" w:rsidRDefault="00A141E7" w:rsidP="00A141E7">
      <w:pPr>
        <w:spacing w:after="240"/>
      </w:pPr>
    </w:p>
    <w:p w:rsidR="00A141E7" w:rsidRDefault="00A141E7" w:rsidP="00A141E7">
      <w:pPr>
        <w:spacing w:after="240"/>
      </w:pPr>
      <w:r>
        <w:t>Further details on the mandatory placement can be found in the Mandatory Registrar HPT placement programme.</w:t>
      </w:r>
    </w:p>
    <w:p w:rsidR="00A141E7" w:rsidRDefault="00A141E7" w:rsidP="00A141E7">
      <w:pPr>
        <w:spacing w:after="240"/>
      </w:pPr>
    </w:p>
    <w:p w:rsidR="00A141E7" w:rsidRDefault="00A141E7" w:rsidP="00A141E7">
      <w:pPr>
        <w:spacing w:after="240"/>
      </w:pPr>
    </w:p>
    <w:p w:rsidR="00A141E7" w:rsidRDefault="00A141E7" w:rsidP="00A141E7">
      <w:pPr>
        <w:pStyle w:val="Heading2"/>
        <w:ind w:left="0"/>
      </w:pPr>
      <w:bookmarkStart w:id="36" w:name="_Toc19603066"/>
      <w:bookmarkStart w:id="37" w:name="_Toc19603599"/>
      <w:bookmarkStart w:id="38" w:name="_Toc103714922"/>
      <w:r>
        <w:t>2.3 Additional placement time and training for StRs wishing to specialise in</w:t>
      </w:r>
      <w:r>
        <w:rPr>
          <w:spacing w:val="-15"/>
        </w:rPr>
        <w:t xml:space="preserve"> </w:t>
      </w:r>
      <w:r>
        <w:t>HP</w:t>
      </w:r>
      <w:bookmarkEnd w:id="36"/>
      <w:bookmarkEnd w:id="37"/>
      <w:bookmarkEnd w:id="38"/>
    </w:p>
    <w:p w:rsidR="00A141E7" w:rsidRDefault="00A141E7" w:rsidP="00A141E7"/>
    <w:p w:rsidR="00A141E7" w:rsidRDefault="00A141E7" w:rsidP="00A141E7">
      <w:pPr>
        <w:pStyle w:val="BodyText"/>
      </w:pPr>
      <w:r w:rsidRPr="00753735">
        <w:rPr>
          <w:b/>
        </w:rPr>
        <w:t xml:space="preserve">It is essential that all aspiring health protection specialists should spend additional time (usually </w:t>
      </w:r>
      <w:r>
        <w:rPr>
          <w:b/>
        </w:rPr>
        <w:t xml:space="preserve">at least </w:t>
      </w:r>
      <w:r w:rsidRPr="00753735">
        <w:rPr>
          <w:b/>
        </w:rPr>
        <w:t>six months WTE) in a senior placement within a health protection team</w:t>
      </w:r>
      <w:r>
        <w:rPr>
          <w:b/>
        </w:rPr>
        <w:t xml:space="preserve"> later in training</w:t>
      </w:r>
      <w:r w:rsidRPr="00753735">
        <w:rPr>
          <w:b/>
        </w:rPr>
        <w:t>.</w:t>
      </w:r>
      <w:r>
        <w:t xml:space="preserve"> Placements in a microbiology laboratory and with the regional Field Epidemiology team are also advisable; each of these placements would usually last for 4-6 </w:t>
      </w:r>
      <w:r w:rsidRPr="00E370A9">
        <w:t>months WTE.</w:t>
      </w:r>
      <w:r>
        <w:t xml:space="preserve"> Other opportunities are in regional or national placements gaining experience in infection control, national infections surveillance and control or other areas of interest. Opportunities to undertake national project work while based within the region are encouraged.  </w:t>
      </w:r>
    </w:p>
    <w:p w:rsidR="00A141E7" w:rsidRDefault="00A141E7" w:rsidP="00A141E7">
      <w:pPr>
        <w:pStyle w:val="BodyText"/>
      </w:pPr>
    </w:p>
    <w:p w:rsidR="00A141E7" w:rsidRPr="00D92D7C" w:rsidRDefault="00A141E7" w:rsidP="00A141E7">
      <w:pPr>
        <w:pStyle w:val="BodyText"/>
        <w:ind w:right="501"/>
      </w:pPr>
      <w:r>
        <w:t>Specialist experience in health protection would provide a suitable background for applying to roles such as Consultant in Health Protection, Consultant Epidemiologist, Consultant in Public Health with a health protection portfolio (for example in a Local Authority), or roles in infection control, emergency planning and specialist health protection roles such as in chemical or radiological hazards services.</w:t>
      </w:r>
    </w:p>
    <w:p w:rsidR="00A141E7" w:rsidRDefault="00A141E7" w:rsidP="00A141E7">
      <w:pPr>
        <w:pStyle w:val="BodyText"/>
        <w:spacing w:before="2"/>
      </w:pPr>
    </w:p>
    <w:p w:rsidR="00A141E7" w:rsidRDefault="00A141E7" w:rsidP="00A141E7">
      <w:pPr>
        <w:pStyle w:val="BodyText"/>
        <w:ind w:right="513"/>
      </w:pPr>
      <w:r>
        <w:t xml:space="preserve">StRs considering a career in Health Protection should flag this with the Health Protection lead this at an early stage for advice on how to plan their time in training. </w:t>
      </w:r>
    </w:p>
    <w:p w:rsidR="00A141E7" w:rsidRDefault="00A141E7" w:rsidP="00A141E7">
      <w:pPr>
        <w:spacing w:after="240"/>
      </w:pPr>
    </w:p>
    <w:p w:rsidR="00A141E7" w:rsidRDefault="00A141E7" w:rsidP="00A141E7">
      <w:pPr>
        <w:pStyle w:val="Heading1"/>
        <w:numPr>
          <w:ilvl w:val="0"/>
          <w:numId w:val="4"/>
        </w:numPr>
        <w:spacing w:before="0"/>
        <w:ind w:hanging="833"/>
      </w:pPr>
      <w:bookmarkStart w:id="39" w:name="_Toc19603067"/>
      <w:bookmarkStart w:id="40" w:name="_Toc19603600"/>
      <w:bookmarkStart w:id="41" w:name="_Toc103714923"/>
      <w:r>
        <w:t>Out of Hours</w:t>
      </w:r>
      <w:bookmarkEnd w:id="39"/>
      <w:bookmarkEnd w:id="40"/>
      <w:bookmarkEnd w:id="41"/>
    </w:p>
    <w:p w:rsidR="00A141E7" w:rsidRDefault="00A141E7" w:rsidP="00A141E7"/>
    <w:p w:rsidR="00A141E7" w:rsidRPr="000D5A6F" w:rsidRDefault="00A141E7" w:rsidP="00A141E7">
      <w:pPr>
        <w:pStyle w:val="BodyText"/>
      </w:pPr>
      <w:bookmarkStart w:id="42" w:name="_Hlk18584421"/>
      <w:r w:rsidRPr="000D5A6F">
        <w:t xml:space="preserve">Participation </w:t>
      </w:r>
      <w:r>
        <w:t>i</w:t>
      </w:r>
      <w:r w:rsidRPr="000D5A6F">
        <w:t xml:space="preserve">n an out-of-hours rota as first on call is a requirement of the FPH Curriculum. </w:t>
      </w:r>
    </w:p>
    <w:p w:rsidR="00A141E7" w:rsidRPr="000D5A6F" w:rsidRDefault="00A141E7" w:rsidP="00A141E7">
      <w:pPr>
        <w:pStyle w:val="BodyText"/>
      </w:pPr>
    </w:p>
    <w:p w:rsidR="00A141E7" w:rsidRDefault="00A141E7" w:rsidP="00A141E7">
      <w:pPr>
        <w:pStyle w:val="BodyText"/>
        <w:rPr>
          <w:b/>
          <w:bCs/>
          <w:i/>
          <w:iCs/>
        </w:rPr>
      </w:pPr>
    </w:p>
    <w:p w:rsidR="00A141E7" w:rsidRPr="000D5A6F" w:rsidRDefault="00A141E7" w:rsidP="00A141E7">
      <w:pPr>
        <w:pStyle w:val="Heading2"/>
        <w:ind w:left="0"/>
      </w:pPr>
      <w:bookmarkStart w:id="43" w:name="_Toc19603068"/>
      <w:bookmarkStart w:id="44" w:name="_Toc19603601"/>
      <w:bookmarkStart w:id="45" w:name="_Toc103714924"/>
      <w:bookmarkEnd w:id="42"/>
      <w:r>
        <w:t xml:space="preserve">3.1 </w:t>
      </w:r>
      <w:r w:rsidRPr="000D5A6F">
        <w:t>Mandatory requirements for joining the out-of-hours rota</w:t>
      </w:r>
      <w:bookmarkEnd w:id="43"/>
      <w:bookmarkEnd w:id="44"/>
      <w:bookmarkEnd w:id="45"/>
    </w:p>
    <w:p w:rsidR="00A141E7" w:rsidRPr="000D5A6F" w:rsidRDefault="00A141E7" w:rsidP="00A141E7">
      <w:pPr>
        <w:pStyle w:val="BodyText"/>
        <w:ind w:right="513"/>
      </w:pPr>
      <w:r w:rsidRPr="000D5A6F">
        <w:t>All the steps below must be satisfactorily achieved before a</w:t>
      </w:r>
      <w:r>
        <w:t>n</w:t>
      </w:r>
      <w:r w:rsidRPr="000D5A6F">
        <w:t xml:space="preserve"> </w:t>
      </w:r>
      <w:r>
        <w:t>St</w:t>
      </w:r>
      <w:r w:rsidRPr="000D5A6F">
        <w:t>R can join the out-of-hour</w:t>
      </w:r>
      <w:r>
        <w:t>s</w:t>
      </w:r>
      <w:r w:rsidRPr="000D5A6F">
        <w:t xml:space="preserve"> rota</w:t>
      </w:r>
      <w:r>
        <w:t>:</w:t>
      </w:r>
    </w:p>
    <w:p w:rsidR="00A141E7" w:rsidRPr="000D5A6F" w:rsidRDefault="00A141E7" w:rsidP="00A141E7">
      <w:pPr>
        <w:pStyle w:val="BodyText"/>
        <w:numPr>
          <w:ilvl w:val="1"/>
          <w:numId w:val="1"/>
        </w:numPr>
        <w:ind w:right="513"/>
      </w:pPr>
      <w:r w:rsidRPr="000D5A6F">
        <w:t>Attendance at ‘Introduction to on-ca</w:t>
      </w:r>
      <w:r>
        <w:t>ll’ study day</w:t>
      </w:r>
      <w:r w:rsidRPr="000D5A6F">
        <w:t xml:space="preserve"> </w:t>
      </w:r>
    </w:p>
    <w:p w:rsidR="00A141E7" w:rsidRPr="00AF78A4" w:rsidRDefault="00A141E7" w:rsidP="00A141E7">
      <w:pPr>
        <w:pStyle w:val="BodyText"/>
        <w:numPr>
          <w:ilvl w:val="1"/>
          <w:numId w:val="1"/>
        </w:numPr>
        <w:ind w:right="513"/>
      </w:pPr>
      <w:r w:rsidRPr="00AF78A4">
        <w:t xml:space="preserve">A full pass of the </w:t>
      </w:r>
      <w:r>
        <w:t xml:space="preserve">FPH </w:t>
      </w:r>
      <w:r w:rsidRPr="00AF78A4">
        <w:t>Diplomate examination to fulfil the knowledge requirements for health protection</w:t>
      </w:r>
    </w:p>
    <w:p w:rsidR="00A141E7" w:rsidRPr="000D5A6F" w:rsidRDefault="00A141E7" w:rsidP="00A141E7">
      <w:pPr>
        <w:pStyle w:val="BodyText"/>
        <w:numPr>
          <w:ilvl w:val="1"/>
          <w:numId w:val="1"/>
        </w:numPr>
        <w:ind w:right="513"/>
      </w:pPr>
      <w:r w:rsidRPr="000D5A6F">
        <w:t xml:space="preserve">Pass at the on-call assessment </w:t>
      </w:r>
      <w:r>
        <w:t xml:space="preserve">(see 3.3) </w:t>
      </w:r>
      <w:r w:rsidRPr="000D5A6F">
        <w:t>which will assess a</w:t>
      </w:r>
      <w:r>
        <w:t>n</w:t>
      </w:r>
      <w:r w:rsidRPr="000D5A6F">
        <w:t xml:space="preserve"> </w:t>
      </w:r>
      <w:r>
        <w:t>StR’s</w:t>
      </w:r>
      <w:r w:rsidRPr="000D5A6F">
        <w:t xml:space="preserve"> safe </w:t>
      </w:r>
      <w:r>
        <w:t>on-call practices</w:t>
      </w:r>
    </w:p>
    <w:p w:rsidR="00A141E7" w:rsidRPr="000D5A6F" w:rsidRDefault="00A141E7" w:rsidP="00A141E7">
      <w:pPr>
        <w:pStyle w:val="BodyText"/>
        <w:numPr>
          <w:ilvl w:val="1"/>
          <w:numId w:val="1"/>
        </w:numPr>
        <w:ind w:right="513"/>
      </w:pPr>
      <w:r>
        <w:t xml:space="preserve">Evidence of competency of achievement in </w:t>
      </w:r>
      <w:r w:rsidRPr="000D5A6F">
        <w:t>learning outcomes 1.2, 4.2, 6.1 - 6.6, 9.2</w:t>
      </w:r>
    </w:p>
    <w:p w:rsidR="00A141E7" w:rsidRPr="000D5A6F" w:rsidRDefault="00A141E7" w:rsidP="00A141E7">
      <w:pPr>
        <w:pStyle w:val="BodyText"/>
        <w:numPr>
          <w:ilvl w:val="1"/>
          <w:numId w:val="1"/>
        </w:numPr>
        <w:ind w:right="513"/>
      </w:pPr>
      <w:r w:rsidRPr="000D5A6F">
        <w:t>Agreement to maintain a reflective logbook of in and out-of-hours calls. Submission of a logbook to e</w:t>
      </w:r>
      <w:r>
        <w:t>-</w:t>
      </w:r>
      <w:r w:rsidRPr="000D5A6F">
        <w:t xml:space="preserve">portfolio is part of the ARCP requirements for </w:t>
      </w:r>
      <w:r>
        <w:t>StRs</w:t>
      </w:r>
      <w:r w:rsidRPr="000D5A6F">
        <w:t xml:space="preserve"> on the out-of-hours rota and is required for full sign-off of LO 6.9</w:t>
      </w:r>
    </w:p>
    <w:p w:rsidR="00A141E7" w:rsidRPr="000D5A6F" w:rsidRDefault="00A141E7" w:rsidP="00A141E7">
      <w:pPr>
        <w:pStyle w:val="BodyText"/>
        <w:numPr>
          <w:ilvl w:val="1"/>
          <w:numId w:val="1"/>
        </w:numPr>
        <w:ind w:right="513"/>
      </w:pPr>
      <w:r w:rsidRPr="000D5A6F">
        <w:t xml:space="preserve">Agreement to attend </w:t>
      </w:r>
      <w:r>
        <w:t>six</w:t>
      </w:r>
      <w:r w:rsidRPr="000D5A6F">
        <w:t xml:space="preserve"> keep in touch</w:t>
      </w:r>
      <w:r>
        <w:t xml:space="preserve"> (KIT)</w:t>
      </w:r>
      <w:r w:rsidRPr="000D5A6F">
        <w:t xml:space="preserve"> days ove</w:t>
      </w:r>
      <w:r>
        <w:t>r a 26-week period (see 3.5.2)</w:t>
      </w:r>
    </w:p>
    <w:p w:rsidR="00A141E7" w:rsidRDefault="00A141E7" w:rsidP="00A141E7">
      <w:pPr>
        <w:pStyle w:val="BodyText"/>
        <w:numPr>
          <w:ilvl w:val="1"/>
          <w:numId w:val="1"/>
        </w:numPr>
        <w:ind w:right="513"/>
      </w:pPr>
      <w:r w:rsidRPr="000D5A6F">
        <w:t xml:space="preserve">Notification of competency to go on the out-of-hours rota sent to Health Education England via email </w:t>
      </w:r>
      <w:r w:rsidRPr="00AF02AB">
        <w:rPr>
          <w:b/>
          <w:u w:val="single"/>
        </w:rPr>
        <w:t>phschool.eoe@hee.nhs.uk</w:t>
      </w:r>
      <w:r w:rsidRPr="000D5A6F">
        <w:t xml:space="preserve"> </w:t>
      </w:r>
      <w:r>
        <w:t>by the Health Protection Team. The Health Protection Team will then contact the StR to put them on the rota and provide them with relevant documents for working out of hours</w:t>
      </w:r>
    </w:p>
    <w:p w:rsidR="00A141E7" w:rsidRPr="000D5A6F" w:rsidRDefault="00A141E7" w:rsidP="00A141E7"/>
    <w:p w:rsidR="00A141E7" w:rsidRDefault="00A141E7" w:rsidP="00A141E7">
      <w:pPr>
        <w:pStyle w:val="BodyText"/>
      </w:pPr>
      <w:r>
        <w:t>StRs</w:t>
      </w:r>
      <w:r w:rsidRPr="000D5A6F">
        <w:t xml:space="preserve"> will continue to participate in an out-of-hours rota until they have, at a minimum, achieved the competence for participation in an unsupervised out-of-hours rota</w:t>
      </w:r>
      <w:r>
        <w:t xml:space="preserve">, demonstrated by sign-off of </w:t>
      </w:r>
      <w:r w:rsidRPr="00395CE5">
        <w:t>LO</w:t>
      </w:r>
      <w:r>
        <w:t xml:space="preserve"> </w:t>
      </w:r>
      <w:r w:rsidRPr="00395CE5">
        <w:t>6.9.</w:t>
      </w:r>
      <w:r>
        <w:t>This is usually in ST5.</w:t>
      </w:r>
    </w:p>
    <w:p w:rsidR="00A141E7" w:rsidRDefault="00A141E7" w:rsidP="00A141E7">
      <w:pPr>
        <w:pStyle w:val="BodyText"/>
      </w:pPr>
    </w:p>
    <w:p w:rsidR="00A141E7" w:rsidRDefault="00A141E7" w:rsidP="00A141E7">
      <w:pPr>
        <w:pStyle w:val="BodyText"/>
      </w:pPr>
      <w:r>
        <w:t>To achieve LO 6.9</w:t>
      </w:r>
      <w:r w:rsidRPr="00395CE5">
        <w:t xml:space="preserve"> </w:t>
      </w:r>
      <w:r>
        <w:t xml:space="preserve">the StR will need an activity summary sheet signed by a Consultant in Health Protection of the StR’s choosing. This should demonstrate </w:t>
      </w:r>
      <w:r w:rsidRPr="00395CE5">
        <w:t>that the StR has the ability to provide out of hours on-call unsupervised (i.e. at a consultant level).</w:t>
      </w:r>
      <w:r>
        <w:t xml:space="preserve">The activity summary sheet together with </w:t>
      </w:r>
      <w:r>
        <w:lastRenderedPageBreak/>
        <w:t xml:space="preserve">the StR’s logbook, will be used by the ES to sign off LO 6.9. </w:t>
      </w:r>
    </w:p>
    <w:p w:rsidR="00A141E7" w:rsidRDefault="00A141E7" w:rsidP="00A141E7">
      <w:pPr>
        <w:pStyle w:val="BodyText"/>
      </w:pPr>
    </w:p>
    <w:p w:rsidR="00A141E7" w:rsidRPr="00395CE5" w:rsidRDefault="00A141E7" w:rsidP="00A141E7">
      <w:pPr>
        <w:pStyle w:val="BodyText"/>
      </w:pPr>
    </w:p>
    <w:p w:rsidR="00A141E7" w:rsidRPr="000D5A6F" w:rsidRDefault="00A141E7" w:rsidP="00A141E7">
      <w:pPr>
        <w:pStyle w:val="Heading2"/>
        <w:ind w:left="0"/>
      </w:pPr>
      <w:bookmarkStart w:id="46" w:name="_Toc19603069"/>
      <w:bookmarkStart w:id="47" w:name="_Toc19603602"/>
      <w:bookmarkStart w:id="48" w:name="_Toc103714925"/>
      <w:r>
        <w:t xml:space="preserve">3.2 </w:t>
      </w:r>
      <w:r w:rsidRPr="000D5A6F">
        <w:t>On-call training</w:t>
      </w:r>
      <w:bookmarkEnd w:id="46"/>
      <w:bookmarkEnd w:id="47"/>
      <w:bookmarkEnd w:id="48"/>
    </w:p>
    <w:p w:rsidR="00A141E7" w:rsidRDefault="00A141E7" w:rsidP="00A141E7">
      <w:pPr>
        <w:pStyle w:val="BodyText"/>
        <w:ind w:right="513"/>
        <w:rPr>
          <w:bCs/>
        </w:rPr>
      </w:pPr>
      <w:r w:rsidRPr="000D5A6F">
        <w:rPr>
          <w:bCs/>
        </w:rPr>
        <w:t xml:space="preserve">On-call training is typically achieved during the </w:t>
      </w:r>
      <w:r>
        <w:rPr>
          <w:b/>
          <w:bCs/>
        </w:rPr>
        <w:t>StRs’</w:t>
      </w:r>
      <w:r w:rsidRPr="000D5A6F">
        <w:rPr>
          <w:b/>
          <w:bCs/>
        </w:rPr>
        <w:t xml:space="preserve"> mandatory health protection placement</w:t>
      </w:r>
      <w:r w:rsidRPr="000D5A6F">
        <w:rPr>
          <w:bCs/>
        </w:rPr>
        <w:t xml:space="preserve">. During the placement </w:t>
      </w:r>
      <w:r>
        <w:rPr>
          <w:bCs/>
        </w:rPr>
        <w:t>StRs</w:t>
      </w:r>
      <w:r w:rsidRPr="000D5A6F">
        <w:rPr>
          <w:bCs/>
        </w:rPr>
        <w:t xml:space="preserve"> should familiarise themselves with on-call procedures and guidelines. Time spent </w:t>
      </w:r>
      <w:r>
        <w:rPr>
          <w:bCs/>
        </w:rPr>
        <w:t>on</w:t>
      </w:r>
      <w:r w:rsidRPr="000D5A6F">
        <w:rPr>
          <w:bCs/>
        </w:rPr>
        <w:t xml:space="preserve"> the duty </w:t>
      </w:r>
      <w:r>
        <w:rPr>
          <w:bCs/>
        </w:rPr>
        <w:t>desk</w:t>
      </w:r>
      <w:r w:rsidRPr="000D5A6F">
        <w:rPr>
          <w:bCs/>
        </w:rPr>
        <w:t xml:space="preserve"> during the placement will provide the </w:t>
      </w:r>
      <w:r>
        <w:rPr>
          <w:bCs/>
        </w:rPr>
        <w:t>StR</w:t>
      </w:r>
      <w:r w:rsidRPr="000D5A6F">
        <w:rPr>
          <w:bCs/>
        </w:rPr>
        <w:t xml:space="preserve"> with the knowledge and tools to be safe on-call.</w:t>
      </w:r>
    </w:p>
    <w:p w:rsidR="00A141E7" w:rsidRPr="000D5A6F" w:rsidRDefault="00A141E7" w:rsidP="00A141E7">
      <w:pPr>
        <w:pStyle w:val="BodyText"/>
        <w:ind w:right="513"/>
        <w:rPr>
          <w:bCs/>
        </w:rPr>
      </w:pPr>
    </w:p>
    <w:p w:rsidR="00A141E7" w:rsidRPr="000D5A6F" w:rsidRDefault="00A141E7" w:rsidP="00A141E7">
      <w:pPr>
        <w:pStyle w:val="BodyText"/>
        <w:ind w:right="513"/>
        <w:rPr>
          <w:bCs/>
        </w:rPr>
      </w:pPr>
      <w:r>
        <w:rPr>
          <w:bCs/>
        </w:rPr>
        <w:t>StRs</w:t>
      </w:r>
      <w:r w:rsidRPr="000D5A6F">
        <w:rPr>
          <w:bCs/>
        </w:rPr>
        <w:t xml:space="preserve"> are required to attend an </w:t>
      </w:r>
      <w:r w:rsidRPr="000D5A6F">
        <w:rPr>
          <w:b/>
          <w:bCs/>
        </w:rPr>
        <w:t>‘Introduction to On-call’ study day</w:t>
      </w:r>
      <w:r w:rsidRPr="000D5A6F">
        <w:rPr>
          <w:bCs/>
        </w:rPr>
        <w:t>; held twice a year</w:t>
      </w:r>
      <w:r>
        <w:rPr>
          <w:bCs/>
        </w:rPr>
        <w:t>.</w:t>
      </w:r>
      <w:r w:rsidRPr="000D5A6F">
        <w:rPr>
          <w:bCs/>
        </w:rPr>
        <w:t xml:space="preserve"> The study day will introduce </w:t>
      </w:r>
      <w:r>
        <w:rPr>
          <w:bCs/>
        </w:rPr>
        <w:t>StRs</w:t>
      </w:r>
      <w:r w:rsidRPr="000D5A6F">
        <w:rPr>
          <w:bCs/>
        </w:rPr>
        <w:t xml:space="preserve"> to the principles of starting on-call duties and help to prepare them for their on-call assessment.</w:t>
      </w:r>
    </w:p>
    <w:p w:rsidR="00A141E7" w:rsidRPr="000D5A6F" w:rsidRDefault="00A141E7" w:rsidP="00A141E7">
      <w:pPr>
        <w:pStyle w:val="BodyText"/>
        <w:ind w:right="513"/>
        <w:rPr>
          <w:bCs/>
        </w:rPr>
      </w:pPr>
    </w:p>
    <w:p w:rsidR="00A141E7" w:rsidRPr="000D5A6F" w:rsidRDefault="00A141E7" w:rsidP="00A141E7">
      <w:pPr>
        <w:pStyle w:val="BodyText"/>
        <w:ind w:right="513"/>
        <w:rPr>
          <w:bCs/>
        </w:rPr>
      </w:pPr>
      <w:r w:rsidRPr="000D5A6F">
        <w:rPr>
          <w:bCs/>
        </w:rPr>
        <w:t xml:space="preserve">A Registrar-led </w:t>
      </w:r>
      <w:r w:rsidRPr="000D5A6F">
        <w:rPr>
          <w:b/>
          <w:bCs/>
        </w:rPr>
        <w:t>on-call teleconference</w:t>
      </w:r>
      <w:r w:rsidRPr="000D5A6F">
        <w:rPr>
          <w:bCs/>
        </w:rPr>
        <w:t xml:space="preserve"> is held bi-monthly which provides a forum for the discussion of on-call scenarios and reflection. </w:t>
      </w:r>
      <w:r>
        <w:rPr>
          <w:bCs/>
        </w:rPr>
        <w:t>StRs</w:t>
      </w:r>
      <w:r w:rsidRPr="000D5A6F">
        <w:rPr>
          <w:bCs/>
        </w:rPr>
        <w:t xml:space="preserve"> at all stages of training </w:t>
      </w:r>
      <w:r>
        <w:rPr>
          <w:bCs/>
        </w:rPr>
        <w:t xml:space="preserve">as well as Health Protection colleagues </w:t>
      </w:r>
      <w:r w:rsidRPr="000D5A6F">
        <w:rPr>
          <w:bCs/>
        </w:rPr>
        <w:t>are invited and encouraged to dial into the teleconferences for ongoing learning and development.</w:t>
      </w:r>
    </w:p>
    <w:p w:rsidR="00A141E7" w:rsidRPr="000D5A6F" w:rsidRDefault="00A141E7" w:rsidP="00A141E7">
      <w:pPr>
        <w:pStyle w:val="BodyText"/>
        <w:spacing w:after="240"/>
        <w:ind w:right="513"/>
      </w:pPr>
    </w:p>
    <w:p w:rsidR="00A141E7" w:rsidRPr="000D5A6F" w:rsidRDefault="00A141E7" w:rsidP="00A141E7">
      <w:pPr>
        <w:pStyle w:val="Heading2"/>
        <w:ind w:left="0"/>
      </w:pPr>
      <w:bookmarkStart w:id="49" w:name="_Toc19603070"/>
      <w:bookmarkStart w:id="50" w:name="_Toc19603603"/>
      <w:bookmarkStart w:id="51" w:name="_Toc103714926"/>
      <w:r>
        <w:t xml:space="preserve">3.3 </w:t>
      </w:r>
      <w:r w:rsidRPr="000D5A6F">
        <w:t>On-call assessment</w:t>
      </w:r>
      <w:bookmarkEnd w:id="49"/>
      <w:bookmarkEnd w:id="50"/>
      <w:bookmarkEnd w:id="51"/>
    </w:p>
    <w:p w:rsidR="00A141E7" w:rsidRDefault="00A141E7" w:rsidP="00A141E7">
      <w:r>
        <w:t>At the end of the mandatory HPT placement, the StR is expected to organise a final meeting with their ES and CS. The purpose of this meeting is for the ES and CS to assess the StR’s readiness to join the on-call rota, and sign off Learning Outcomes.</w:t>
      </w:r>
    </w:p>
    <w:p w:rsidR="00A141E7" w:rsidRDefault="00A141E7" w:rsidP="00A141E7"/>
    <w:p w:rsidR="00A141E7" w:rsidRPr="000D5A6F" w:rsidRDefault="00A141E7" w:rsidP="00A141E7">
      <w:pPr>
        <w:pStyle w:val="BodyText"/>
        <w:ind w:right="513"/>
        <w:rPr>
          <w:bCs/>
        </w:rPr>
      </w:pPr>
      <w:r>
        <w:rPr>
          <w:bCs/>
        </w:rPr>
        <w:t>StRs</w:t>
      </w:r>
      <w:r w:rsidRPr="000D5A6F">
        <w:rPr>
          <w:bCs/>
        </w:rPr>
        <w:t xml:space="preserve"> must pass the on-call assessment</w:t>
      </w:r>
      <w:r>
        <w:rPr>
          <w:bCs/>
        </w:rPr>
        <w:t xml:space="preserve"> </w:t>
      </w:r>
      <w:r w:rsidRPr="000D5A6F">
        <w:rPr>
          <w:bCs/>
        </w:rPr>
        <w:t>before they can join the out-of-hours rota</w:t>
      </w:r>
      <w:r>
        <w:rPr>
          <w:bCs/>
        </w:rPr>
        <w:t>,</w:t>
      </w:r>
      <w:r w:rsidRPr="00D94043">
        <w:t xml:space="preserve"> </w:t>
      </w:r>
      <w:r w:rsidRPr="000D5A6F">
        <w:t>to provide assurance that the StR is safe and confident to start on-call and has reached the minimum standard of practice</w:t>
      </w:r>
      <w:r>
        <w:t>.</w:t>
      </w:r>
    </w:p>
    <w:p w:rsidR="00A141E7" w:rsidRPr="000D5A6F" w:rsidRDefault="00A141E7" w:rsidP="00A141E7">
      <w:pPr>
        <w:pStyle w:val="BodyText"/>
        <w:ind w:right="513"/>
        <w:rPr>
          <w:bCs/>
        </w:rPr>
      </w:pPr>
    </w:p>
    <w:p w:rsidR="00A141E7" w:rsidRDefault="00A141E7" w:rsidP="00A141E7">
      <w:pPr>
        <w:pStyle w:val="BodyText"/>
        <w:ind w:right="513"/>
        <w:rPr>
          <w:bCs/>
        </w:rPr>
      </w:pPr>
      <w:r>
        <w:rPr>
          <w:bCs/>
        </w:rPr>
        <w:t xml:space="preserve">In exceptional cases, when either the Clinical Supervisor or the Educational Supervisor are unable to attend, another Health Protection Consultant or Senior Health Protection Practitioner can assess on-call suitability. </w:t>
      </w:r>
    </w:p>
    <w:p w:rsidR="00A141E7" w:rsidRPr="000D5A6F" w:rsidRDefault="00A141E7" w:rsidP="00A141E7">
      <w:pPr>
        <w:pStyle w:val="BodyText"/>
        <w:ind w:right="513"/>
        <w:rPr>
          <w:bCs/>
        </w:rPr>
      </w:pPr>
    </w:p>
    <w:p w:rsidR="00A141E7" w:rsidRPr="000D5A6F" w:rsidRDefault="00A141E7" w:rsidP="00A141E7">
      <w:pPr>
        <w:pStyle w:val="BodyText"/>
        <w:ind w:right="513"/>
      </w:pPr>
    </w:p>
    <w:p w:rsidR="00A141E7" w:rsidRPr="000D5A6F" w:rsidRDefault="00A141E7" w:rsidP="00A141E7">
      <w:pPr>
        <w:pStyle w:val="Heading2"/>
        <w:ind w:left="0"/>
      </w:pPr>
      <w:bookmarkStart w:id="52" w:name="_Toc19603071"/>
      <w:bookmarkStart w:id="53" w:name="_Toc19603604"/>
      <w:bookmarkStart w:id="54" w:name="_Toc103714927"/>
      <w:r>
        <w:t>3.4 UKHSA</w:t>
      </w:r>
      <w:r w:rsidRPr="000D5A6F">
        <w:t xml:space="preserve"> Honorary Contract and Work Schedules</w:t>
      </w:r>
      <w:bookmarkEnd w:id="52"/>
      <w:bookmarkEnd w:id="53"/>
      <w:bookmarkEnd w:id="54"/>
    </w:p>
    <w:p w:rsidR="00A141E7" w:rsidRPr="000D5A6F" w:rsidRDefault="00A141E7" w:rsidP="00A141E7">
      <w:pPr>
        <w:pStyle w:val="BodyText"/>
        <w:ind w:right="513"/>
      </w:pPr>
      <w:r>
        <w:t>StRs</w:t>
      </w:r>
      <w:r w:rsidRPr="000D5A6F">
        <w:t xml:space="preserve"> are required to have an honorary contract </w:t>
      </w:r>
      <w:r>
        <w:t xml:space="preserve">with UKHSA, which needs to be in place before the StR commences their mandatory placement and </w:t>
      </w:r>
      <w:r w:rsidRPr="000D5A6F">
        <w:t xml:space="preserve">for on call work. An honorary contract will be sent to the </w:t>
      </w:r>
      <w:r>
        <w:t>StR</w:t>
      </w:r>
      <w:r w:rsidRPr="000D5A6F">
        <w:t xml:space="preserve"> by the HPT with other paperwork and materials required for them </w:t>
      </w:r>
      <w:r>
        <w:t>to commence the mandatory placement</w:t>
      </w:r>
      <w:r w:rsidRPr="000D5A6F">
        <w:t xml:space="preserve">. </w:t>
      </w:r>
    </w:p>
    <w:p w:rsidR="00A141E7" w:rsidRPr="000D5A6F" w:rsidRDefault="00A141E7" w:rsidP="00A141E7">
      <w:pPr>
        <w:pStyle w:val="BodyText"/>
        <w:ind w:right="513"/>
      </w:pPr>
    </w:p>
    <w:p w:rsidR="00A141E7" w:rsidRPr="000D5A6F" w:rsidRDefault="00A141E7" w:rsidP="00A141E7">
      <w:pPr>
        <w:pStyle w:val="BodyText"/>
        <w:ind w:right="513"/>
      </w:pPr>
      <w:r w:rsidRPr="000D5A6F">
        <w:t>An additional supplement is payable for out-of-hours duties. The supplements are governed by relevant terms and conditions of service. Banding is only payable once the StR has been certified as competent to start on-call and been included in the on-call rota. The StR should notify HEE (</w:t>
      </w:r>
      <w:hyperlink r:id="rId12" w:history="1">
        <w:r w:rsidRPr="00453AC3">
          <w:rPr>
            <w:rStyle w:val="Hyperlink"/>
          </w:rPr>
          <w:t>phschool.eoe@hee.nhs.uk</w:t>
        </w:r>
      </w:hyperlink>
      <w:r w:rsidRPr="000D5A6F">
        <w:t>) that they have joined the out-of-hours rota, who will inform the lead employer</w:t>
      </w:r>
      <w:r>
        <w:t>.</w:t>
      </w:r>
      <w:r w:rsidRPr="000D5A6F">
        <w:t xml:space="preserve"> </w:t>
      </w:r>
    </w:p>
    <w:p w:rsidR="00A141E7" w:rsidRPr="000D5A6F" w:rsidRDefault="00A141E7" w:rsidP="00A141E7">
      <w:pPr>
        <w:pStyle w:val="BodyText"/>
        <w:ind w:right="513"/>
      </w:pPr>
    </w:p>
    <w:p w:rsidR="00A141E7" w:rsidRPr="000D5A6F" w:rsidRDefault="00A141E7" w:rsidP="00A141E7">
      <w:pPr>
        <w:pStyle w:val="BodyText"/>
      </w:pPr>
      <w:r w:rsidRPr="00595245">
        <w:t xml:space="preserve">In line with requirements under the European Working Time Regulation (EWTR), StRs will not be required to undertake more than 1:9 out-of-hours duties. StRs working less than full time will </w:t>
      </w:r>
      <w:r>
        <w:t>not be required to undertake more than 1:15</w:t>
      </w:r>
      <w:r w:rsidRPr="00595245">
        <w:t xml:space="preserve"> out-of-hours duties</w:t>
      </w:r>
      <w:r w:rsidRPr="00595245">
        <w:rPr>
          <w:i/>
        </w:rPr>
        <w:t>.</w:t>
      </w:r>
    </w:p>
    <w:p w:rsidR="00A141E7" w:rsidRDefault="00A141E7" w:rsidP="00A141E7">
      <w:pPr>
        <w:pStyle w:val="BodyText"/>
        <w:spacing w:after="240"/>
        <w:ind w:right="513"/>
      </w:pPr>
    </w:p>
    <w:p w:rsidR="00A141E7" w:rsidRDefault="00A141E7" w:rsidP="00A141E7">
      <w:pPr>
        <w:pStyle w:val="BodyText"/>
        <w:spacing w:after="240"/>
        <w:ind w:right="513"/>
      </w:pPr>
    </w:p>
    <w:p w:rsidR="00A141E7" w:rsidRDefault="00A141E7" w:rsidP="00A141E7">
      <w:pPr>
        <w:pStyle w:val="BodyText"/>
        <w:spacing w:after="240"/>
        <w:ind w:right="513"/>
      </w:pPr>
    </w:p>
    <w:p w:rsidR="00A141E7" w:rsidRPr="000D5A6F" w:rsidRDefault="00A141E7" w:rsidP="00A141E7">
      <w:pPr>
        <w:pStyle w:val="BodyText"/>
        <w:spacing w:after="240"/>
        <w:ind w:right="513"/>
      </w:pPr>
    </w:p>
    <w:p w:rsidR="00A141E7" w:rsidRPr="000D5A6F" w:rsidRDefault="00A141E7" w:rsidP="00A141E7">
      <w:pPr>
        <w:pStyle w:val="Heading2"/>
        <w:ind w:left="0"/>
      </w:pPr>
      <w:bookmarkStart w:id="55" w:name="_Toc19603072"/>
      <w:bookmarkStart w:id="56" w:name="_Toc19603605"/>
      <w:bookmarkStart w:id="57" w:name="_Toc103714928"/>
      <w:r>
        <w:t xml:space="preserve">3.5 </w:t>
      </w:r>
      <w:r w:rsidRPr="000D5A6F">
        <w:t>Joining and being on the out of hours rota</w:t>
      </w:r>
      <w:bookmarkEnd w:id="55"/>
      <w:bookmarkEnd w:id="56"/>
      <w:bookmarkEnd w:id="57"/>
    </w:p>
    <w:p w:rsidR="00A141E7" w:rsidRPr="000D5A6F" w:rsidRDefault="00A141E7" w:rsidP="00A141E7">
      <w:pPr>
        <w:spacing w:after="240"/>
      </w:pPr>
    </w:p>
    <w:p w:rsidR="00A141E7" w:rsidRPr="000D5A6F" w:rsidRDefault="00A141E7" w:rsidP="00A141E7">
      <w:pPr>
        <w:pStyle w:val="Heading3"/>
        <w:numPr>
          <w:ilvl w:val="0"/>
          <w:numId w:val="0"/>
        </w:numPr>
        <w:ind w:left="832" w:hanging="832"/>
      </w:pPr>
      <w:bookmarkStart w:id="58" w:name="_Toc19603073"/>
      <w:bookmarkStart w:id="59" w:name="_Toc19603606"/>
      <w:bookmarkStart w:id="60" w:name="_Toc103714929"/>
      <w:r>
        <w:t>3.5.</w:t>
      </w:r>
      <w:r w:rsidRPr="000D5A6F">
        <w:t>1 The rota and your availability</w:t>
      </w:r>
      <w:bookmarkEnd w:id="58"/>
      <w:bookmarkEnd w:id="59"/>
      <w:bookmarkEnd w:id="60"/>
    </w:p>
    <w:p w:rsidR="00A141E7" w:rsidRPr="000D5A6F" w:rsidRDefault="00A141E7" w:rsidP="00A141E7"/>
    <w:p w:rsidR="00A141E7" w:rsidRPr="000D5A6F" w:rsidRDefault="00A141E7" w:rsidP="00A141E7">
      <w:pPr>
        <w:pStyle w:val="BodyText"/>
        <w:ind w:right="513"/>
        <w:rPr>
          <w:bCs/>
        </w:rPr>
      </w:pPr>
      <w:r w:rsidRPr="005919FF">
        <w:rPr>
          <w:bCs/>
        </w:rPr>
        <w:t xml:space="preserve">Trainees are required to provide </w:t>
      </w:r>
      <w:r>
        <w:rPr>
          <w:bCs/>
        </w:rPr>
        <w:t xml:space="preserve">their </w:t>
      </w:r>
      <w:r w:rsidRPr="005919FF">
        <w:rPr>
          <w:bCs/>
        </w:rPr>
        <w:t xml:space="preserve">availability to the </w:t>
      </w:r>
      <w:r>
        <w:rPr>
          <w:bCs/>
        </w:rPr>
        <w:t xml:space="preserve">HPT </w:t>
      </w:r>
      <w:r w:rsidRPr="005919FF">
        <w:rPr>
          <w:bCs/>
        </w:rPr>
        <w:t>rota coordinator</w:t>
      </w:r>
      <w:r>
        <w:rPr>
          <w:bCs/>
        </w:rPr>
        <w:t xml:space="preserve"> to allow the out of hours rota to be planned effectively. </w:t>
      </w:r>
      <w:r w:rsidRPr="000D5A6F">
        <w:rPr>
          <w:bCs/>
        </w:rPr>
        <w:t>Shifts for the out of hours rota are scheduled as fairly as possible given organisational and personal constraints based on principles</w:t>
      </w:r>
      <w:r>
        <w:rPr>
          <w:bCs/>
        </w:rPr>
        <w:t xml:space="preserve"> below</w:t>
      </w:r>
      <w:r w:rsidRPr="000D5A6F">
        <w:rPr>
          <w:bCs/>
        </w:rPr>
        <w:t>. If</w:t>
      </w:r>
      <w:r>
        <w:rPr>
          <w:bCs/>
        </w:rPr>
        <w:t xml:space="preserve"> either</w:t>
      </w:r>
      <w:r w:rsidRPr="000D5A6F">
        <w:rPr>
          <w:bCs/>
        </w:rPr>
        <w:t xml:space="preserve"> </w:t>
      </w:r>
      <w:r>
        <w:rPr>
          <w:bCs/>
        </w:rPr>
        <w:t xml:space="preserve">the rota coordinator or trainee </w:t>
      </w:r>
      <w:r w:rsidRPr="000D5A6F">
        <w:rPr>
          <w:bCs/>
        </w:rPr>
        <w:t>is unable to comply with the</w:t>
      </w:r>
      <w:r>
        <w:rPr>
          <w:bCs/>
        </w:rPr>
        <w:t>se principles, they are required to notify the other party</w:t>
      </w:r>
      <w:r w:rsidRPr="000D5A6F">
        <w:rPr>
          <w:bCs/>
        </w:rPr>
        <w:t xml:space="preserve"> with immediate effect and make best efforts to reach an amicable arrangement.</w:t>
      </w:r>
    </w:p>
    <w:p w:rsidR="00A141E7" w:rsidRPr="000D5A6F" w:rsidRDefault="00A141E7" w:rsidP="00A141E7">
      <w:pPr>
        <w:pStyle w:val="BodyText"/>
        <w:ind w:right="513"/>
        <w:rPr>
          <w:bCs/>
        </w:rPr>
      </w:pPr>
    </w:p>
    <w:p w:rsidR="00A141E7" w:rsidRPr="000D5A6F" w:rsidRDefault="00A141E7" w:rsidP="00A141E7">
      <w:pPr>
        <w:pStyle w:val="BodyText"/>
        <w:ind w:right="513"/>
        <w:rPr>
          <w:bCs/>
        </w:rPr>
      </w:pPr>
      <w:r w:rsidRPr="000D5A6F">
        <w:rPr>
          <w:bCs/>
        </w:rPr>
        <w:t>Principles for setting the out-of-hours rota</w:t>
      </w:r>
    </w:p>
    <w:p w:rsidR="00A141E7" w:rsidRPr="000D5A6F" w:rsidRDefault="00A141E7" w:rsidP="00A141E7">
      <w:pPr>
        <w:pStyle w:val="BodyText"/>
        <w:ind w:right="513"/>
        <w:rPr>
          <w:bCs/>
        </w:rPr>
      </w:pPr>
    </w:p>
    <w:p w:rsidR="00A141E7" w:rsidRPr="000D5A6F" w:rsidRDefault="00A141E7" w:rsidP="00A141E7">
      <w:pPr>
        <w:pStyle w:val="BodyText"/>
        <w:numPr>
          <w:ilvl w:val="0"/>
          <w:numId w:val="7"/>
        </w:numPr>
        <w:ind w:right="513"/>
        <w:rPr>
          <w:bCs/>
        </w:rPr>
      </w:pPr>
      <w:r>
        <w:rPr>
          <w:bCs/>
        </w:rPr>
        <w:t>In each 6-month period,</w:t>
      </w:r>
      <w:r w:rsidRPr="000D5A6F">
        <w:rPr>
          <w:bCs/>
        </w:rPr>
        <w:t xml:space="preserve"> full-time </w:t>
      </w:r>
      <w:r>
        <w:rPr>
          <w:bCs/>
        </w:rPr>
        <w:t>StRs</w:t>
      </w:r>
      <w:r w:rsidRPr="000D5A6F">
        <w:rPr>
          <w:bCs/>
        </w:rPr>
        <w:t xml:space="preserve"> are </w:t>
      </w:r>
      <w:r>
        <w:rPr>
          <w:bCs/>
        </w:rPr>
        <w:t xml:space="preserve">scheduled </w:t>
      </w:r>
      <w:r w:rsidRPr="000D5A6F">
        <w:rPr>
          <w:bCs/>
        </w:rPr>
        <w:t xml:space="preserve">for up to 20 shifts, </w:t>
      </w:r>
      <w:r>
        <w:rPr>
          <w:bCs/>
        </w:rPr>
        <w:t xml:space="preserve">and </w:t>
      </w:r>
      <w:r w:rsidRPr="000D5A6F">
        <w:rPr>
          <w:bCs/>
        </w:rPr>
        <w:t xml:space="preserve">less than full time </w:t>
      </w:r>
      <w:r>
        <w:rPr>
          <w:bCs/>
        </w:rPr>
        <w:t>StRs</w:t>
      </w:r>
      <w:r w:rsidRPr="000D5A6F">
        <w:rPr>
          <w:bCs/>
        </w:rPr>
        <w:t xml:space="preserve"> for up to 12 shifts.</w:t>
      </w:r>
    </w:p>
    <w:p w:rsidR="00A141E7" w:rsidRPr="000D5A6F" w:rsidRDefault="00A141E7" w:rsidP="00A141E7">
      <w:pPr>
        <w:pStyle w:val="BodyText"/>
        <w:numPr>
          <w:ilvl w:val="0"/>
          <w:numId w:val="7"/>
        </w:numPr>
        <w:ind w:right="513"/>
        <w:rPr>
          <w:bCs/>
        </w:rPr>
      </w:pPr>
      <w:r w:rsidRPr="000D5A6F">
        <w:rPr>
          <w:bCs/>
        </w:rPr>
        <w:t xml:space="preserve">All </w:t>
      </w:r>
      <w:r>
        <w:rPr>
          <w:bCs/>
        </w:rPr>
        <w:t>StRs</w:t>
      </w:r>
      <w:r w:rsidRPr="000D5A6F">
        <w:rPr>
          <w:bCs/>
        </w:rPr>
        <w:t xml:space="preserve"> can be </w:t>
      </w:r>
      <w:r>
        <w:rPr>
          <w:bCs/>
        </w:rPr>
        <w:t>scheduled to cover</w:t>
      </w:r>
      <w:r w:rsidRPr="000D5A6F">
        <w:rPr>
          <w:bCs/>
        </w:rPr>
        <w:t xml:space="preserve"> all </w:t>
      </w:r>
      <w:r>
        <w:rPr>
          <w:bCs/>
        </w:rPr>
        <w:t xml:space="preserve">geographical </w:t>
      </w:r>
      <w:r w:rsidRPr="000D5A6F">
        <w:rPr>
          <w:bCs/>
        </w:rPr>
        <w:t xml:space="preserve">areas. </w:t>
      </w:r>
    </w:p>
    <w:p w:rsidR="00A141E7" w:rsidRPr="000D5A6F" w:rsidRDefault="00A141E7" w:rsidP="00A141E7">
      <w:pPr>
        <w:pStyle w:val="BodyText"/>
        <w:numPr>
          <w:ilvl w:val="0"/>
          <w:numId w:val="7"/>
        </w:numPr>
        <w:ind w:right="513"/>
        <w:rPr>
          <w:bCs/>
        </w:rPr>
      </w:pPr>
      <w:r w:rsidRPr="000D5A6F">
        <w:rPr>
          <w:bCs/>
        </w:rPr>
        <w:t xml:space="preserve">Weekend days are those that start on a Saturday or a Sunday. </w:t>
      </w:r>
    </w:p>
    <w:p w:rsidR="00A141E7" w:rsidRPr="000D5A6F" w:rsidRDefault="00A141E7" w:rsidP="00A141E7">
      <w:pPr>
        <w:pStyle w:val="BodyText"/>
        <w:numPr>
          <w:ilvl w:val="0"/>
          <w:numId w:val="7"/>
        </w:numPr>
        <w:ind w:right="513"/>
        <w:rPr>
          <w:bCs/>
        </w:rPr>
      </w:pPr>
      <w:r w:rsidRPr="004963B6">
        <w:rPr>
          <w:bCs/>
        </w:rPr>
        <w:t>A maximum of 3 weekends will be scheduled in a 26-week period</w:t>
      </w:r>
      <w:r w:rsidRPr="000D5A6F">
        <w:rPr>
          <w:bCs/>
        </w:rPr>
        <w:t xml:space="preserve">. </w:t>
      </w:r>
    </w:p>
    <w:p w:rsidR="00A141E7" w:rsidRPr="000D5A6F" w:rsidRDefault="00A141E7" w:rsidP="00A141E7">
      <w:pPr>
        <w:pStyle w:val="BodyText"/>
        <w:numPr>
          <w:ilvl w:val="0"/>
          <w:numId w:val="7"/>
        </w:numPr>
        <w:ind w:right="513"/>
        <w:rPr>
          <w:bCs/>
        </w:rPr>
      </w:pPr>
      <w:r w:rsidRPr="000D5A6F">
        <w:rPr>
          <w:bCs/>
        </w:rPr>
        <w:t>If a trainee is ro</w:t>
      </w:r>
      <w:r>
        <w:rPr>
          <w:bCs/>
        </w:rPr>
        <w:t>stered</w:t>
      </w:r>
      <w:r w:rsidRPr="000D5A6F">
        <w:rPr>
          <w:bCs/>
        </w:rPr>
        <w:t xml:space="preserve"> to work on a bank holiday the time can be claimed back in lieu. </w:t>
      </w:r>
    </w:p>
    <w:p w:rsidR="00A141E7" w:rsidRPr="000D5A6F" w:rsidRDefault="00A141E7" w:rsidP="00A141E7">
      <w:pPr>
        <w:pStyle w:val="BodyText"/>
        <w:numPr>
          <w:ilvl w:val="0"/>
          <w:numId w:val="7"/>
        </w:numPr>
        <w:ind w:right="513"/>
        <w:rPr>
          <w:bCs/>
        </w:rPr>
      </w:pPr>
      <w:r w:rsidRPr="000D5A6F">
        <w:rPr>
          <w:bCs/>
        </w:rPr>
        <w:t xml:space="preserve">It will be assumed that </w:t>
      </w:r>
      <w:r>
        <w:rPr>
          <w:bCs/>
        </w:rPr>
        <w:t>StRs</w:t>
      </w:r>
      <w:r w:rsidRPr="000D5A6F">
        <w:rPr>
          <w:bCs/>
        </w:rPr>
        <w:t xml:space="preserve"> are available to be slotted into the rota at all other times in accordance with professional accountability of being on an out of hours rota. </w:t>
      </w:r>
    </w:p>
    <w:p w:rsidR="00A141E7" w:rsidRPr="000D5A6F" w:rsidRDefault="00A141E7" w:rsidP="00A141E7">
      <w:pPr>
        <w:pStyle w:val="BodyText"/>
        <w:ind w:right="513"/>
        <w:rPr>
          <w:bCs/>
        </w:rPr>
      </w:pPr>
    </w:p>
    <w:p w:rsidR="00A141E7" w:rsidRPr="000D5A6F" w:rsidRDefault="00A141E7" w:rsidP="00A141E7">
      <w:pPr>
        <w:pStyle w:val="BodyText"/>
        <w:ind w:right="513"/>
        <w:rPr>
          <w:bCs/>
        </w:rPr>
      </w:pPr>
    </w:p>
    <w:p w:rsidR="00A141E7" w:rsidRDefault="00A141E7" w:rsidP="00A141E7">
      <w:pPr>
        <w:pStyle w:val="Heading3"/>
        <w:numPr>
          <w:ilvl w:val="0"/>
          <w:numId w:val="0"/>
        </w:numPr>
        <w:ind w:left="832" w:hanging="832"/>
      </w:pPr>
      <w:bookmarkStart w:id="61" w:name="_Toc19603074"/>
      <w:bookmarkStart w:id="62" w:name="_Toc19603607"/>
      <w:bookmarkStart w:id="63" w:name="_Toc103714930"/>
      <w:bookmarkStart w:id="64" w:name="_Hlk18595985"/>
      <w:r>
        <w:t xml:space="preserve">3.5.2 </w:t>
      </w:r>
      <w:r w:rsidRPr="000D5A6F">
        <w:t xml:space="preserve">Staying on the rota – Keep in </w:t>
      </w:r>
      <w:r>
        <w:t>T</w:t>
      </w:r>
      <w:r w:rsidRPr="000D5A6F">
        <w:t xml:space="preserve">ouch </w:t>
      </w:r>
      <w:r>
        <w:t xml:space="preserve">(KIT) </w:t>
      </w:r>
      <w:r w:rsidRPr="000D5A6F">
        <w:t>days</w:t>
      </w:r>
      <w:bookmarkEnd w:id="61"/>
      <w:bookmarkEnd w:id="62"/>
      <w:bookmarkEnd w:id="63"/>
    </w:p>
    <w:bookmarkEnd w:id="64"/>
    <w:p w:rsidR="00A141E7" w:rsidRPr="000D5A6F" w:rsidRDefault="00A141E7" w:rsidP="00A141E7">
      <w:pPr>
        <w:pStyle w:val="BodyText"/>
      </w:pPr>
    </w:p>
    <w:p w:rsidR="00A141E7" w:rsidRPr="000D5A6F" w:rsidRDefault="00A141E7" w:rsidP="00A141E7">
      <w:pPr>
        <w:pStyle w:val="BodyText"/>
        <w:ind w:right="513"/>
        <w:rPr>
          <w:b/>
          <w:bCs/>
        </w:rPr>
      </w:pPr>
      <w:r w:rsidRPr="000D5A6F">
        <w:rPr>
          <w:bCs/>
        </w:rPr>
        <w:t xml:space="preserve">Maintaining competence and therefore patient safety is the priority of everyone working on the on-call rota. </w:t>
      </w:r>
      <w:r w:rsidRPr="000D5A6F">
        <w:rPr>
          <w:b/>
          <w:bCs/>
        </w:rPr>
        <w:t xml:space="preserve">To support ongoing competence, </w:t>
      </w:r>
      <w:r>
        <w:rPr>
          <w:b/>
          <w:bCs/>
        </w:rPr>
        <w:t>StRs</w:t>
      </w:r>
      <w:r w:rsidRPr="000D5A6F">
        <w:rPr>
          <w:b/>
          <w:bCs/>
        </w:rPr>
        <w:t xml:space="preserve"> on the on-call rota must undertake 6 full days </w:t>
      </w:r>
      <w:r>
        <w:rPr>
          <w:b/>
          <w:bCs/>
        </w:rPr>
        <w:t>on</w:t>
      </w:r>
      <w:r w:rsidRPr="000D5A6F">
        <w:rPr>
          <w:b/>
          <w:bCs/>
        </w:rPr>
        <w:t xml:space="preserve"> the HPT duty </w:t>
      </w:r>
      <w:r>
        <w:rPr>
          <w:b/>
          <w:bCs/>
        </w:rPr>
        <w:t>desk</w:t>
      </w:r>
      <w:r w:rsidRPr="000D5A6F">
        <w:rPr>
          <w:b/>
          <w:bCs/>
        </w:rPr>
        <w:t xml:space="preserve"> for every 26-week rota period.</w:t>
      </w:r>
      <w:r w:rsidRPr="000D5A6F">
        <w:rPr>
          <w:bCs/>
        </w:rPr>
        <w:t xml:space="preserve"> This is the equivalent of one day per month and </w:t>
      </w:r>
      <w:r w:rsidRPr="000D5A6F">
        <w:rPr>
          <w:b/>
          <w:bCs/>
        </w:rPr>
        <w:t>should usually be undertaken as one day per calendar month</w:t>
      </w:r>
      <w:r w:rsidRPr="000D5A6F">
        <w:rPr>
          <w:bCs/>
        </w:rPr>
        <w:t>.</w:t>
      </w:r>
      <w:r>
        <w:rPr>
          <w:bCs/>
        </w:rPr>
        <w:t xml:space="preserve"> </w:t>
      </w:r>
      <w:r>
        <w:rPr>
          <w:b/>
          <w:bCs/>
        </w:rPr>
        <w:t>StRs</w:t>
      </w:r>
      <w:r w:rsidRPr="000D5A6F">
        <w:rPr>
          <w:b/>
          <w:bCs/>
        </w:rPr>
        <w:t xml:space="preserve"> working less than full time are required to undertake 6 full days per 26-week period </w:t>
      </w:r>
      <w:bookmarkStart w:id="65" w:name="_Hlk18321573"/>
      <w:r w:rsidRPr="000D5A6F">
        <w:rPr>
          <w:b/>
          <w:bCs/>
        </w:rPr>
        <w:t xml:space="preserve">as the principle of maintaining competence applies equally regardless of work pattern. </w:t>
      </w:r>
    </w:p>
    <w:bookmarkEnd w:id="65"/>
    <w:p w:rsidR="00A141E7" w:rsidRPr="000D5A6F" w:rsidRDefault="00A141E7" w:rsidP="00A141E7">
      <w:pPr>
        <w:pStyle w:val="BodyText"/>
        <w:ind w:right="513"/>
        <w:rPr>
          <w:bCs/>
        </w:rPr>
      </w:pPr>
    </w:p>
    <w:p w:rsidR="00A141E7" w:rsidRPr="000D5A6F" w:rsidRDefault="00A141E7" w:rsidP="00A141E7">
      <w:pPr>
        <w:pStyle w:val="BodyText"/>
        <w:ind w:right="513"/>
        <w:rPr>
          <w:bCs/>
        </w:rPr>
      </w:pPr>
      <w:r w:rsidRPr="000D5A6F">
        <w:rPr>
          <w:b/>
          <w:bCs/>
        </w:rPr>
        <w:t xml:space="preserve">Failure of any </w:t>
      </w:r>
      <w:r>
        <w:rPr>
          <w:b/>
          <w:bCs/>
        </w:rPr>
        <w:t>StR</w:t>
      </w:r>
      <w:r w:rsidRPr="000D5A6F">
        <w:rPr>
          <w:b/>
          <w:bCs/>
        </w:rPr>
        <w:t xml:space="preserve"> to attend 6 days of duty room work in a 26-week period</w:t>
      </w:r>
      <w:r w:rsidRPr="000D5A6F">
        <w:rPr>
          <w:bCs/>
        </w:rPr>
        <w:t xml:space="preserve">, </w:t>
      </w:r>
      <w:r w:rsidRPr="000D5A6F">
        <w:rPr>
          <w:b/>
          <w:bCs/>
        </w:rPr>
        <w:t xml:space="preserve">will be escalated to the Head of School and may result in removal from the on-call rota. </w:t>
      </w:r>
      <w:r w:rsidRPr="0009725B">
        <w:rPr>
          <w:bCs/>
        </w:rPr>
        <w:t>Th</w:t>
      </w:r>
      <w:r w:rsidRPr="000D5A6F">
        <w:rPr>
          <w:bCs/>
        </w:rPr>
        <w:t xml:space="preserve">ey will not be permitted to re-join the rota until they have satisfactorily passed the on-call assessment a second time. It will not be possible for any </w:t>
      </w:r>
      <w:r>
        <w:rPr>
          <w:bCs/>
        </w:rPr>
        <w:t>StR</w:t>
      </w:r>
      <w:r w:rsidRPr="000D5A6F">
        <w:rPr>
          <w:bCs/>
        </w:rPr>
        <w:t xml:space="preserve"> to have their on-call competency signed-off during this time.</w:t>
      </w:r>
    </w:p>
    <w:p w:rsidR="00A141E7" w:rsidRPr="000D5A6F" w:rsidRDefault="00A141E7" w:rsidP="00A141E7">
      <w:pPr>
        <w:pStyle w:val="BodyText"/>
        <w:ind w:right="513"/>
        <w:rPr>
          <w:bCs/>
        </w:rPr>
      </w:pPr>
    </w:p>
    <w:p w:rsidR="00A141E7" w:rsidRPr="000D5A6F" w:rsidRDefault="00A141E7" w:rsidP="00A141E7">
      <w:pPr>
        <w:pStyle w:val="BodyText"/>
        <w:ind w:right="513"/>
        <w:rPr>
          <w:bCs/>
        </w:rPr>
      </w:pPr>
      <w:r w:rsidRPr="000D5A6F">
        <w:rPr>
          <w:bCs/>
        </w:rPr>
        <w:t xml:space="preserve">Calls taken during keep in touch days should be recorded in the </w:t>
      </w:r>
      <w:r>
        <w:rPr>
          <w:bCs/>
        </w:rPr>
        <w:t>StRs</w:t>
      </w:r>
      <w:r w:rsidRPr="000D5A6F">
        <w:rPr>
          <w:bCs/>
        </w:rPr>
        <w:t xml:space="preserve"> logbook and will be recognised as contributory evidence for sign-off of LO 6.9.</w:t>
      </w:r>
    </w:p>
    <w:p w:rsidR="00A141E7" w:rsidRPr="000D5A6F" w:rsidRDefault="00A141E7" w:rsidP="00A141E7">
      <w:pPr>
        <w:pStyle w:val="BodyText"/>
        <w:ind w:right="513"/>
        <w:rPr>
          <w:bCs/>
        </w:rPr>
      </w:pPr>
    </w:p>
    <w:p w:rsidR="00A141E7" w:rsidRDefault="00A141E7" w:rsidP="00A141E7">
      <w:pPr>
        <w:pStyle w:val="BodyText"/>
        <w:ind w:left="720" w:right="513"/>
        <w:rPr>
          <w:bCs/>
        </w:rPr>
      </w:pPr>
    </w:p>
    <w:p w:rsidR="00A141E7" w:rsidRPr="000D5A6F" w:rsidRDefault="00A141E7" w:rsidP="00A141E7">
      <w:pPr>
        <w:pStyle w:val="Heading3"/>
        <w:numPr>
          <w:ilvl w:val="0"/>
          <w:numId w:val="0"/>
        </w:numPr>
        <w:ind w:left="832" w:hanging="832"/>
      </w:pPr>
      <w:bookmarkStart w:id="66" w:name="_Toc19603075"/>
      <w:bookmarkStart w:id="67" w:name="_Toc19603608"/>
      <w:bookmarkStart w:id="68" w:name="_Toc103714931"/>
      <w:r>
        <w:t xml:space="preserve">3.5.3 </w:t>
      </w:r>
      <w:r w:rsidRPr="000D5A6F">
        <w:t>Leaving and returning to the out of hours rota</w:t>
      </w:r>
      <w:bookmarkEnd w:id="66"/>
      <w:bookmarkEnd w:id="67"/>
      <w:bookmarkEnd w:id="68"/>
    </w:p>
    <w:p w:rsidR="00A141E7" w:rsidRPr="000D5A6F" w:rsidRDefault="00A141E7" w:rsidP="00A141E7">
      <w:pPr>
        <w:pStyle w:val="BodyText"/>
        <w:ind w:right="513"/>
        <w:rPr>
          <w:b/>
          <w:bCs/>
        </w:rPr>
      </w:pPr>
    </w:p>
    <w:p w:rsidR="00A141E7" w:rsidRPr="000D5A6F" w:rsidRDefault="00A141E7" w:rsidP="00A141E7">
      <w:pPr>
        <w:pStyle w:val="BodyText"/>
        <w:ind w:right="513"/>
        <w:rPr>
          <w:bCs/>
        </w:rPr>
      </w:pPr>
      <w:r>
        <w:rPr>
          <w:bCs/>
        </w:rPr>
        <w:t>It is the StR’s responsibility to notify the rota administrator and the Lead Employer if they will be leaving the out of hours rota, giving a minimum of six weeks’ notice. The ES and HPT Training lead should be copied in.</w:t>
      </w:r>
    </w:p>
    <w:p w:rsidR="00A141E7" w:rsidRDefault="00A141E7" w:rsidP="00A141E7">
      <w:pPr>
        <w:pStyle w:val="BodyText"/>
        <w:ind w:right="513"/>
        <w:rPr>
          <w:bCs/>
        </w:rPr>
      </w:pPr>
    </w:p>
    <w:p w:rsidR="00A141E7" w:rsidRDefault="00A141E7" w:rsidP="00A141E7">
      <w:pPr>
        <w:pStyle w:val="BodyText"/>
        <w:ind w:right="513"/>
        <w:rPr>
          <w:bCs/>
        </w:rPr>
      </w:pPr>
      <w:r>
        <w:rPr>
          <w:bCs/>
        </w:rPr>
        <w:t>StRs</w:t>
      </w:r>
      <w:r w:rsidRPr="000D5A6F">
        <w:rPr>
          <w:bCs/>
        </w:rPr>
        <w:t xml:space="preserve"> who formally leave the training programme to gain an out of programme experience (OOPE)</w:t>
      </w:r>
      <w:r>
        <w:rPr>
          <w:bCs/>
        </w:rPr>
        <w:t>,</w:t>
      </w:r>
      <w:r w:rsidRPr="000D5A6F">
        <w:rPr>
          <w:bCs/>
        </w:rPr>
        <w:t xml:space="preserve"> </w:t>
      </w:r>
      <w:r w:rsidRPr="00066295">
        <w:t>Out of Programme Research (OOPR</w:t>
      </w:r>
      <w:r w:rsidRPr="00066295">
        <w:rPr>
          <w:b/>
          <w:bCs/>
        </w:rPr>
        <w:t>)</w:t>
      </w:r>
      <w:r>
        <w:rPr>
          <w:b/>
          <w:bCs/>
        </w:rPr>
        <w:t xml:space="preserve">, </w:t>
      </w:r>
      <w:r w:rsidRPr="00066295">
        <w:t>Out of Programme Training (OOPT)</w:t>
      </w:r>
      <w:r>
        <w:t xml:space="preserve"> or Out of Programme Career Break (OOPC) </w:t>
      </w:r>
      <w:r w:rsidRPr="000D5A6F">
        <w:rPr>
          <w:bCs/>
        </w:rPr>
        <w:t xml:space="preserve">are </w:t>
      </w:r>
      <w:r>
        <w:rPr>
          <w:bCs/>
        </w:rPr>
        <w:t xml:space="preserve">usually </w:t>
      </w:r>
      <w:r w:rsidRPr="000D5A6F">
        <w:rPr>
          <w:bCs/>
        </w:rPr>
        <w:t xml:space="preserve">not able to remain on the East of England out of hours rota. </w:t>
      </w:r>
      <w:r>
        <w:rPr>
          <w:bCs/>
        </w:rPr>
        <w:t xml:space="preserve">Definitions of these out of programme activities can be found on the </w:t>
      </w:r>
      <w:hyperlink r:id="rId13" w:anchor="targetText=For%20any%20trainee%20requesting%20OOPT,with%20their%20OOP%20application%20form." w:history="1">
        <w:r w:rsidRPr="00BA6B97">
          <w:rPr>
            <w:rStyle w:val="Hyperlink"/>
            <w:bCs/>
          </w:rPr>
          <w:t xml:space="preserve">HEE EOE </w:t>
        </w:r>
        <w:r w:rsidRPr="00BA6B97">
          <w:rPr>
            <w:rStyle w:val="Hyperlink"/>
            <w:bCs/>
          </w:rPr>
          <w:lastRenderedPageBreak/>
          <w:t>website</w:t>
        </w:r>
      </w:hyperlink>
      <w:r>
        <w:rPr>
          <w:rStyle w:val="Hyperlink"/>
          <w:bCs/>
        </w:rPr>
        <w:t>. StR</w:t>
      </w:r>
      <w:r w:rsidRPr="00A66399">
        <w:rPr>
          <w:rStyle w:val="Hyperlink"/>
          <w:bCs/>
        </w:rPr>
        <w:t xml:space="preserve">s going OOP for specialist Health Protection placements may </w:t>
      </w:r>
      <w:r>
        <w:rPr>
          <w:rStyle w:val="Hyperlink"/>
          <w:bCs/>
        </w:rPr>
        <w:t>remain</w:t>
      </w:r>
      <w:r w:rsidRPr="00A66399">
        <w:rPr>
          <w:rStyle w:val="Hyperlink"/>
          <w:bCs/>
        </w:rPr>
        <w:t xml:space="preserve"> on the rota if they</w:t>
      </w:r>
      <w:r>
        <w:rPr>
          <w:rStyle w:val="Hyperlink"/>
          <w:bCs/>
        </w:rPr>
        <w:t xml:space="preserve"> are still </w:t>
      </w:r>
      <w:r>
        <w:rPr>
          <w:bCs/>
        </w:rPr>
        <w:t xml:space="preserve">employed by StHK and fulfil the standard KIT requirements. </w:t>
      </w:r>
    </w:p>
    <w:p w:rsidR="00A141E7" w:rsidRPr="000D5A6F" w:rsidRDefault="00A141E7" w:rsidP="00A141E7">
      <w:pPr>
        <w:pStyle w:val="BodyText"/>
      </w:pPr>
    </w:p>
    <w:p w:rsidR="00A141E7" w:rsidRPr="000D5A6F" w:rsidRDefault="00A141E7" w:rsidP="00A141E7">
      <w:pPr>
        <w:pStyle w:val="BodyText"/>
        <w:ind w:right="513"/>
      </w:pPr>
      <w:r>
        <w:t>StRs</w:t>
      </w:r>
      <w:r w:rsidRPr="000D5A6F">
        <w:t xml:space="preserve"> who have been out of programme and off the rota for six months or longer (for example for maternity leave, a placement out of or academic work), </w:t>
      </w:r>
      <w:r w:rsidRPr="000D5A6F">
        <w:rPr>
          <w:b/>
        </w:rPr>
        <w:t>must undertake 10</w:t>
      </w:r>
      <w:r>
        <w:rPr>
          <w:b/>
        </w:rPr>
        <w:t xml:space="preserve"> days of refresher training ideally as a block </w:t>
      </w:r>
      <w:r w:rsidRPr="000D5A6F">
        <w:rPr>
          <w:b/>
        </w:rPr>
        <w:t>with the HPT before they can return to the on-call rota.</w:t>
      </w:r>
      <w:r w:rsidRPr="000D5A6F">
        <w:t xml:space="preserve"> </w:t>
      </w:r>
    </w:p>
    <w:p w:rsidR="00A141E7" w:rsidRPr="000D5A6F" w:rsidRDefault="00A141E7" w:rsidP="00A141E7">
      <w:pPr>
        <w:pStyle w:val="BodyText"/>
        <w:ind w:right="513"/>
      </w:pPr>
    </w:p>
    <w:p w:rsidR="00A141E7" w:rsidRDefault="00A141E7" w:rsidP="00A141E7">
      <w:pPr>
        <w:pStyle w:val="BodyText"/>
        <w:ind w:right="513"/>
        <w:rPr>
          <w:b/>
          <w:bCs/>
        </w:rPr>
      </w:pPr>
      <w:r w:rsidRPr="000D5A6F">
        <w:rPr>
          <w:b/>
        </w:rPr>
        <w:t>In line with the policy for keep in touch days</w:t>
      </w:r>
      <w:r w:rsidRPr="000D5A6F">
        <w:t xml:space="preserve">, because the </w:t>
      </w:r>
      <w:r w:rsidRPr="000D5A6F">
        <w:rPr>
          <w:bCs/>
        </w:rPr>
        <w:t xml:space="preserve">principle of maintaining competence applies equally regardless of work pattern, </w:t>
      </w:r>
      <w:r w:rsidRPr="000D5A6F">
        <w:rPr>
          <w:b/>
          <w:bCs/>
        </w:rPr>
        <w:t xml:space="preserve">a minimum of 10-days must be undertaken by all </w:t>
      </w:r>
      <w:r>
        <w:rPr>
          <w:b/>
          <w:bCs/>
        </w:rPr>
        <w:t>StRs</w:t>
      </w:r>
      <w:r w:rsidRPr="000D5A6F">
        <w:rPr>
          <w:b/>
          <w:bCs/>
        </w:rPr>
        <w:t xml:space="preserve"> regardless of their working pattern in order to re-join the on-call rota. </w:t>
      </w:r>
    </w:p>
    <w:p w:rsidR="00A141E7" w:rsidRDefault="00A141E7" w:rsidP="00A141E7">
      <w:pPr>
        <w:pStyle w:val="BodyText"/>
        <w:ind w:right="513"/>
        <w:rPr>
          <w:b/>
          <w:bCs/>
        </w:rPr>
      </w:pPr>
    </w:p>
    <w:p w:rsidR="00A141E7" w:rsidRDefault="00A141E7" w:rsidP="00A141E7">
      <w:pPr>
        <w:pStyle w:val="BodyText"/>
        <w:ind w:right="513"/>
        <w:rPr>
          <w:b/>
          <w:bCs/>
        </w:rPr>
      </w:pPr>
    </w:p>
    <w:p w:rsidR="00A141E7" w:rsidRDefault="00A141E7" w:rsidP="00A141E7">
      <w:pPr>
        <w:pStyle w:val="BodyText"/>
        <w:ind w:right="513"/>
        <w:rPr>
          <w:b/>
          <w:bCs/>
        </w:rPr>
      </w:pPr>
    </w:p>
    <w:tbl>
      <w:tblPr>
        <w:tblStyle w:val="TableGrid"/>
        <w:tblpPr w:leftFromText="180" w:rightFromText="180" w:vertAnchor="text" w:horzAnchor="margin" w:tblpXSpec="center" w:tblpY="160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56"/>
      </w:tblGrid>
      <w:tr w:rsidR="00A141E7" w:rsidRPr="00A141E7" w:rsidTr="00A141E7">
        <w:trPr>
          <w:trHeight w:val="250"/>
        </w:trPr>
        <w:tc>
          <w:tcPr>
            <w:tcW w:w="9656" w:type="dxa"/>
          </w:tcPr>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Document title: EoE Public Health Training Programme: Health protection policy</w:t>
            </w:r>
          </w:p>
        </w:tc>
      </w:tr>
      <w:tr w:rsidR="00A141E7" w:rsidRPr="00A141E7" w:rsidTr="00A141E7">
        <w:trPr>
          <w:trHeight w:val="260"/>
        </w:trPr>
        <w:tc>
          <w:tcPr>
            <w:tcW w:w="9656" w:type="dxa"/>
          </w:tcPr>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Version: 2.3</w:t>
            </w:r>
          </w:p>
        </w:tc>
      </w:tr>
      <w:tr w:rsidR="00A141E7" w:rsidRPr="00A141E7" w:rsidTr="00A141E7">
        <w:trPr>
          <w:trHeight w:val="501"/>
        </w:trPr>
        <w:tc>
          <w:tcPr>
            <w:tcW w:w="9656" w:type="dxa"/>
          </w:tcPr>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 xml:space="preserve">Author: </w:t>
            </w:r>
            <w:r w:rsidRPr="00A141E7">
              <w:t xml:space="preserve"> </w:t>
            </w:r>
            <w:r w:rsidRPr="00A141E7">
              <w:rPr>
                <w:rFonts w:eastAsia="Times New Roman"/>
                <w:color w:val="A6A6A6" w:themeColor="background1" w:themeShade="A6"/>
                <w:szCs w:val="24"/>
              </w:rPr>
              <w:t>Health Protection Training Policy Task and Finish Group &amp; Health protection programme lead (Victoria Matthews)</w:t>
            </w:r>
          </w:p>
        </w:tc>
      </w:tr>
      <w:tr w:rsidR="00A141E7" w:rsidRPr="00A141E7" w:rsidTr="00A141E7">
        <w:trPr>
          <w:trHeight w:val="1640"/>
        </w:trPr>
        <w:tc>
          <w:tcPr>
            <w:tcW w:w="9656" w:type="dxa"/>
          </w:tcPr>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Version 2.3: Agreed by STC – 14 July 2022</w:t>
            </w:r>
          </w:p>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Version 2.2:  Health protection programme lead amendments (Victoria Matthews) (June 2022)</w:t>
            </w:r>
          </w:p>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Version 2.1: Sara Godward &amp; Kirsteen Watson (TPDs) review (June 2022)</w:t>
            </w:r>
          </w:p>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Version 2.0:  Health protection programme lead update (Victoria Matthews) ()May 2022)</w:t>
            </w:r>
          </w:p>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Version 1.1: ‘ Health Protection Training Policy Task and Finish Group - approved (Nov 2019)</w:t>
            </w:r>
          </w:p>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Version 1.0: ‘ Health Protection Training Policy Task and Finish Group (Sept 2019)</w:t>
            </w:r>
          </w:p>
        </w:tc>
      </w:tr>
      <w:tr w:rsidR="00A141E7" w:rsidRPr="00A141E7" w:rsidTr="00A141E7">
        <w:trPr>
          <w:trHeight w:val="250"/>
        </w:trPr>
        <w:tc>
          <w:tcPr>
            <w:tcW w:w="9656" w:type="dxa"/>
          </w:tcPr>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Approved by:  STC</w:t>
            </w:r>
          </w:p>
        </w:tc>
      </w:tr>
      <w:tr w:rsidR="00A141E7" w:rsidRPr="00A141E7" w:rsidTr="00A141E7">
        <w:trPr>
          <w:trHeight w:val="250"/>
        </w:trPr>
        <w:tc>
          <w:tcPr>
            <w:tcW w:w="9656" w:type="dxa"/>
          </w:tcPr>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Approval date: 14 July 2022</w:t>
            </w:r>
          </w:p>
        </w:tc>
      </w:tr>
      <w:tr w:rsidR="00A141E7" w:rsidRPr="00A141E7" w:rsidTr="00A141E7">
        <w:trPr>
          <w:trHeight w:val="250"/>
        </w:trPr>
        <w:tc>
          <w:tcPr>
            <w:tcW w:w="9656" w:type="dxa"/>
          </w:tcPr>
          <w:p w:rsidR="00A141E7" w:rsidRPr="00A141E7" w:rsidRDefault="00A141E7" w:rsidP="006909A2">
            <w:pPr>
              <w:rPr>
                <w:rFonts w:eastAsia="Times New Roman"/>
                <w:color w:val="A6A6A6" w:themeColor="background1" w:themeShade="A6"/>
                <w:szCs w:val="24"/>
              </w:rPr>
            </w:pPr>
            <w:r w:rsidRPr="00A141E7">
              <w:rPr>
                <w:rFonts w:eastAsia="Times New Roman"/>
                <w:color w:val="A6A6A6" w:themeColor="background1" w:themeShade="A6"/>
                <w:szCs w:val="24"/>
              </w:rPr>
              <w:t xml:space="preserve">Review date: July 2024 </w:t>
            </w:r>
          </w:p>
        </w:tc>
      </w:tr>
    </w:tbl>
    <w:p w:rsidR="00A141E7" w:rsidRDefault="00A141E7" w:rsidP="00A141E7">
      <w:pPr>
        <w:pStyle w:val="BodyText"/>
        <w:ind w:right="513"/>
        <w:rPr>
          <w:b/>
          <w:bCs/>
        </w:rPr>
      </w:pPr>
    </w:p>
    <w:p w:rsidR="00A141E7" w:rsidRDefault="00A141E7" w:rsidP="00A141E7">
      <w:pPr>
        <w:tabs>
          <w:tab w:val="left" w:pos="5660"/>
        </w:tabs>
      </w:pPr>
      <w:r>
        <w:tab/>
      </w:r>
    </w:p>
    <w:p w:rsidR="00A141E7" w:rsidRPr="008353F5" w:rsidRDefault="00A141E7" w:rsidP="00A141E7">
      <w:pPr>
        <w:tabs>
          <w:tab w:val="left" w:pos="6070"/>
        </w:tabs>
      </w:pPr>
      <w:r>
        <w:tab/>
      </w:r>
    </w:p>
    <w:p w:rsidR="004908E0" w:rsidRDefault="004908E0">
      <w:bookmarkStart w:id="69" w:name="_GoBack"/>
      <w:bookmarkEnd w:id="69"/>
    </w:p>
    <w:sectPr w:rsidR="004908E0" w:rsidSect="008353F5">
      <w:headerReference w:type="even" r:id="rId14"/>
      <w:headerReference w:type="default" r:id="rId15"/>
      <w:footerReference w:type="even" r:id="rId16"/>
      <w:headerReference w:type="first" r:id="rId17"/>
      <w:pgSz w:w="11910" w:h="16840"/>
      <w:pgMar w:top="1440" w:right="1080" w:bottom="1440" w:left="1080" w:header="0" w:footer="37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Default="00A141E7">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54755311" wp14:editId="340089A5">
              <wp:simplePos x="0" y="0"/>
              <wp:positionH relativeFrom="page">
                <wp:posOffset>6673850</wp:posOffset>
              </wp:positionH>
              <wp:positionV relativeFrom="page">
                <wp:posOffset>10177780</wp:posOffset>
              </wp:positionV>
              <wp:extent cx="193040" cy="167005"/>
              <wp:effectExtent l="0" t="0"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A87" w:rsidRDefault="00A141E7" w:rsidP="008353F5">
                          <w:pPr>
                            <w:spacing w:before="1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55311" id="_x0000_t202" coordsize="21600,21600" o:spt="202" path="m,l,21600r21600,l21600,xe">
              <v:stroke joinstyle="miter"/>
              <v:path gradientshapeok="t" o:connecttype="rect"/>
            </v:shapetype>
            <v:shape id="Text Box 3" o:spid="_x0000_s1028" type="#_x0000_t202" style="position:absolute;margin-left:525.5pt;margin-top:801.4pt;width:15.2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" filled="f" stroked="f">
              <v:textbox inset="0,0,0,0">
                <w:txbxContent>
                  <w:p w:rsidR="008A0A87" w:rsidRDefault="00A141E7" w:rsidP="008353F5">
                    <w:pPr>
                      <w:spacing w:before="12"/>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3F5" w:rsidRPr="00917AB6" w:rsidRDefault="00A141E7" w:rsidP="008353F5">
    <w:pPr>
      <w:pStyle w:val="Footer"/>
      <w:tabs>
        <w:tab w:val="left" w:pos="7980"/>
      </w:tabs>
      <w:ind w:right="-24"/>
      <w:rPr>
        <w:color w:val="BFBFBF" w:themeColor="background1" w:themeShade="BF"/>
        <w:sz w:val="20"/>
      </w:rPr>
    </w:pPr>
    <w:r w:rsidRPr="00917AB6">
      <w:rPr>
        <w:color w:val="BFBFBF" w:themeColor="background1" w:themeShade="BF"/>
        <w:sz w:val="20"/>
      </w:rPr>
      <w:t xml:space="preserve">EoE Public Health Training Programme </w:t>
    </w:r>
    <w:r>
      <w:rPr>
        <w:color w:val="BFBFBF" w:themeColor="background1" w:themeShade="BF"/>
        <w:sz w:val="20"/>
      </w:rPr>
      <w:t xml:space="preserve">Health </w:t>
    </w:r>
    <w:r>
      <w:rPr>
        <w:color w:val="BFBFBF" w:themeColor="background1" w:themeShade="BF"/>
        <w:sz w:val="20"/>
      </w:rPr>
      <w:t>protection</w:t>
    </w:r>
    <w:r w:rsidRPr="00917AB6">
      <w:rPr>
        <w:color w:val="BFBFBF" w:themeColor="background1" w:themeShade="BF"/>
        <w:sz w:val="20"/>
      </w:rPr>
      <w:t xml:space="preserve"> Policy – v. </w:t>
    </w:r>
    <w:r>
      <w:rPr>
        <w:color w:val="BFBFBF" w:themeColor="background1" w:themeShade="BF"/>
        <w:sz w:val="20"/>
      </w:rPr>
      <w:t>2.3</w:t>
    </w:r>
    <w:r>
      <w:rPr>
        <w:color w:val="BFBFBF" w:themeColor="background1" w:themeShade="BF"/>
        <w:sz w:val="20"/>
      </w:rPr>
      <w:t xml:space="preserve"> </w:t>
    </w:r>
    <w:r w:rsidRPr="00917AB6">
      <w:rPr>
        <w:color w:val="BFBFBF" w:themeColor="background1" w:themeShade="BF"/>
        <w:sz w:val="20"/>
      </w:rPr>
      <w:t>(</w:t>
    </w:r>
    <w:r>
      <w:rPr>
        <w:color w:val="BFBFBF" w:themeColor="background1" w:themeShade="BF"/>
        <w:sz w:val="20"/>
      </w:rPr>
      <w:t>July</w:t>
    </w:r>
    <w:r w:rsidRPr="00917AB6">
      <w:rPr>
        <w:color w:val="BFBFBF" w:themeColor="background1" w:themeShade="BF"/>
        <w:sz w:val="20"/>
      </w:rPr>
      <w:t xml:space="preserve"> 2022)</w:t>
    </w:r>
    <w:r>
      <w:rPr>
        <w:color w:val="BFBFBF" w:themeColor="background1" w:themeShade="BF"/>
        <w:sz w:val="20"/>
      </w:rPr>
      <w:t xml:space="preserve"> </w:t>
    </w:r>
    <w:r>
      <w:rPr>
        <w:color w:val="BFBFBF" w:themeColor="background1" w:themeShade="BF"/>
        <w:sz w:val="20"/>
      </w:rPr>
      <w:tab/>
    </w:r>
    <w:r>
      <w:rPr>
        <w:color w:val="BFBFBF" w:themeColor="background1" w:themeShade="BF"/>
        <w:sz w:val="20"/>
      </w:rPr>
      <w:tab/>
    </w:r>
    <w:r>
      <w:rPr>
        <w:color w:val="BFBFBF" w:themeColor="background1" w:themeShade="BF"/>
        <w:sz w:val="20"/>
      </w:rPr>
      <w:tab/>
    </w:r>
    <w:r>
      <w:rPr>
        <w:color w:val="BFBFBF" w:themeColor="background1" w:themeShade="BF"/>
        <w:sz w:val="20"/>
      </w:rPr>
      <w:t xml:space="preserve">    </w:t>
    </w:r>
    <w:r>
      <w:rPr>
        <w:color w:val="BFBFBF" w:themeColor="background1" w:themeShade="BF"/>
        <w:sz w:val="20"/>
      </w:rPr>
      <w:t xml:space="preserve"> </w:t>
    </w:r>
    <w:r w:rsidRPr="008353F5">
      <w:rPr>
        <w:color w:val="BFBFBF" w:themeColor="background1" w:themeShade="BF"/>
        <w:sz w:val="20"/>
      </w:rPr>
      <w:fldChar w:fldCharType="begin"/>
    </w:r>
    <w:r w:rsidRPr="008353F5">
      <w:rPr>
        <w:color w:val="BFBFBF" w:themeColor="background1" w:themeShade="BF"/>
        <w:sz w:val="20"/>
      </w:rPr>
      <w:instrText xml:space="preserve"> PAGE   \* MERGEFORMAT </w:instrText>
    </w:r>
    <w:r w:rsidRPr="008353F5">
      <w:rPr>
        <w:color w:val="BFBFBF" w:themeColor="background1" w:themeShade="BF"/>
        <w:sz w:val="20"/>
      </w:rPr>
      <w:fldChar w:fldCharType="separate"/>
    </w:r>
    <w:r>
      <w:rPr>
        <w:noProof/>
        <w:color w:val="BFBFBF" w:themeColor="background1" w:themeShade="BF"/>
        <w:sz w:val="20"/>
      </w:rPr>
      <w:t>9</w:t>
    </w:r>
    <w:r w:rsidRPr="008353F5">
      <w:rPr>
        <w:noProof/>
        <w:color w:val="BFBFBF" w:themeColor="background1" w:themeShade="BF"/>
        <w:sz w:val="20"/>
      </w:rPr>
      <w:fldChar w:fldCharType="end"/>
    </w:r>
  </w:p>
  <w:p w:rsidR="008353F5" w:rsidRDefault="00A141E7">
    <w:pPr>
      <w:pStyle w:val="Footer"/>
    </w:pPr>
  </w:p>
  <w:p w:rsidR="008A0A87" w:rsidRDefault="00A141E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Default="00A141E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Default="00A141E7" w:rsidP="00173693">
    <w:pPr>
      <w:pStyle w:val="BodyText"/>
      <w:spacing w:line="14" w:lineRule="auto"/>
      <w:jc w:val="right"/>
      <w:rPr>
        <w:sz w:val="20"/>
      </w:rPr>
    </w:pPr>
    <w:r>
      <w:rPr>
        <w:noProof/>
        <w:lang w:bidi="ar-SA"/>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567805" cy="2626995"/>
              <wp:effectExtent l="0" t="1781175" r="0" b="14401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805" cy="2626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0;width:517.15pt;height:206.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" o:allowincell="f" filled="f" stroked="f">
              <v:stroke joinstyle="round"/>
              <o:lock v:ext="edit" shapetype="t"/>
              <v:textbox style="mso-fit-shape-to-text:t">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bidi="ar-SA"/>
      </w:rPr>
      <w:drawing>
        <wp:anchor distT="0" distB="0" distL="0" distR="0" simplePos="0" relativeHeight="251659264" behindDoc="1" locked="0" layoutInCell="1" allowOverlap="1" wp14:anchorId="7D1FC018" wp14:editId="46195241">
          <wp:simplePos x="0" y="0"/>
          <wp:positionH relativeFrom="page">
            <wp:posOffset>8697595</wp:posOffset>
          </wp:positionH>
          <wp:positionV relativeFrom="page">
            <wp:posOffset>73025</wp:posOffset>
          </wp:positionV>
          <wp:extent cx="1838325" cy="617220"/>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838325" cy="617220"/>
                  </a:xfrm>
                  <a:prstGeom prst="rect">
                    <a:avLst/>
                  </a:prstGeom>
                </pic:spPr>
              </pic:pic>
            </a:graphicData>
          </a:graphic>
        </wp:anchor>
      </w:drawing>
    </w:r>
    <w:r>
      <w:rPr>
        <w:sz w:val="20"/>
      </w:rPr>
      <w:ptab w:relativeTo="margin" w:alignment="center" w:leader="none"/>
    </w:r>
  </w:p>
  <w:p w:rsidR="008A0A87" w:rsidRDefault="00A141E7">
    <w:pPr>
      <w:pStyle w:val="BodyText"/>
      <w:spacing w:line="14" w:lineRule="auto"/>
      <w:rPr>
        <w:sz w:val="20"/>
      </w:rPr>
    </w:pPr>
  </w:p>
  <w:p w:rsidR="008A0A87" w:rsidRDefault="00A141E7">
    <w:pPr>
      <w:pStyle w:val="BodyText"/>
      <w:spacing w:line="14" w:lineRule="auto"/>
      <w:rPr>
        <w:sz w:val="20"/>
      </w:rPr>
    </w:pPr>
  </w:p>
  <w:p w:rsidR="008A0A87" w:rsidRDefault="00A141E7">
    <w:pPr>
      <w:pStyle w:val="BodyText"/>
      <w:spacing w:line="14" w:lineRule="auto"/>
      <w:rPr>
        <w:sz w:val="20"/>
      </w:rPr>
    </w:pPr>
  </w:p>
  <w:p w:rsidR="008A0A87" w:rsidRDefault="00A141E7">
    <w:pPr>
      <w:pStyle w:val="BodyText"/>
      <w:spacing w:line="14" w:lineRule="auto"/>
      <w:rPr>
        <w:sz w:val="20"/>
      </w:rPr>
    </w:pPr>
  </w:p>
  <w:p w:rsidR="008A0A87" w:rsidRDefault="00A141E7" w:rsidP="00173693">
    <w:pPr>
      <w:pStyle w:val="BodyText"/>
      <w:spacing w:line="14" w:lineRule="auto"/>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Default="00A141E7">
    <w:pPr>
      <w:pStyle w:val="BodyText"/>
      <w:spacing w:line="14" w:lineRule="auto"/>
      <w:rPr>
        <w:sz w:val="20"/>
      </w:rPr>
    </w:pPr>
    <w:r>
      <w:rPr>
        <w:noProof/>
        <w:lang w:bidi="ar-SA"/>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567805" cy="2626995"/>
              <wp:effectExtent l="0" t="1781175" r="0" b="14401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805" cy="2626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0;margin-top:0;width:517.15pt;height:206.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" o:allowincell="f" filled="f" stroked="f">
              <v:stroke joinstyle="round"/>
              <o:lock v:ext="edit" shapetype="t"/>
              <v:textbox style="mso-fit-shape-to-text:t">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8A0A87" w:rsidRDefault="00A141E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9C" w:rsidRDefault="00A141E7">
    <w:pPr>
      <w:pStyle w:val="Header"/>
    </w:pPr>
    <w:r>
      <w:rPr>
        <w:noProof/>
        <w:lang w:bidi="ar-SA"/>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567805" cy="2626995"/>
              <wp:effectExtent l="0" t="1781175" r="0" b="14401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805" cy="2626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0;margin-top:0;width:517.15pt;height:206.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" o:allowincell="f" filled="f" stroked="f">
              <v:stroke joinstyle="round"/>
              <o:lock v:ext="edit" shapetype="t"/>
              <v:textbox style="mso-fit-shape-to-text:t">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A87" w:rsidRDefault="00A141E7">
    <w:pPr>
      <w:pStyle w:val="BodyText"/>
      <w:spacing w:line="14" w:lineRule="auto"/>
      <w:rPr>
        <w:sz w:val="2"/>
      </w:rPr>
    </w:pPr>
    <w:r>
      <w:rPr>
        <w:noProof/>
        <w:lang w:bidi="ar-SA"/>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567805" cy="2626995"/>
              <wp:effectExtent l="0" t="1781175" r="0" b="14401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805" cy="2626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517.15pt;height:206.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" o:allowincell="f" filled="f" stroked="f">
              <v:stroke joinstyle="round"/>
              <o:lock v:ext="edit" shapetype="t"/>
              <v:textbox style="mso-fit-shape-to-text:t">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9C" w:rsidRDefault="00A141E7">
    <w:pPr>
      <w:pStyle w:val="Header"/>
    </w:pPr>
    <w:r>
      <w:rPr>
        <w:noProof/>
        <w:lang w:bidi="ar-SA"/>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567805" cy="2626995"/>
              <wp:effectExtent l="0" t="1781175" r="0" b="14401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805" cy="2626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0;margin-top:0;width:517.15pt;height:206.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" o:allowincell="f" filled="f" stroked="f">
              <v:stroke joinstyle="round"/>
              <o:lock v:ext="edit" shapetype="t"/>
              <v:textbox style="mso-fit-shape-to-text:t">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9C" w:rsidRDefault="00A141E7">
    <w:pPr>
      <w:pStyle w:val="Header"/>
    </w:pPr>
    <w:r>
      <w:rPr>
        <w:noProof/>
        <w:lang w:bidi="ar-SA"/>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567805" cy="2626995"/>
              <wp:effectExtent l="0" t="1781175" r="0" b="14401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67805" cy="2626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0;margin-top:0;width:517.15pt;height:206.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" o:allowincell="f" filled="f" stroked="f">
              <v:stroke joinstyle="round"/>
              <o:lock v:ext="edit" shapetype="t"/>
              <v:textbox style="mso-fit-shape-to-text:t">
                <w:txbxContent>
                  <w:p w:rsidR="00A141E7" w:rsidRDefault="00A141E7" w:rsidP="00A141E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4CB"/>
    <w:multiLevelType w:val="multilevel"/>
    <w:tmpl w:val="4E8474A0"/>
    <w:lvl w:ilvl="0">
      <w:start w:val="2"/>
      <w:numFmt w:val="decimal"/>
      <w:lvlText w:val="%1"/>
      <w:lvlJc w:val="left"/>
      <w:pPr>
        <w:ind w:left="400" w:hanging="400"/>
      </w:pPr>
      <w:rPr>
        <w:rFonts w:hint="default"/>
      </w:rPr>
    </w:lvl>
    <w:lvl w:ilvl="1">
      <w:start w:val="2"/>
      <w:numFmt w:val="decimal"/>
      <w:lvlText w:val="%1.%2"/>
      <w:lvlJc w:val="left"/>
      <w:pPr>
        <w:ind w:left="832" w:hanging="72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888" w:hanging="144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472" w:hanging="180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15:restartNumberingAfterBreak="0">
    <w:nsid w:val="08F67659"/>
    <w:multiLevelType w:val="hybridMultilevel"/>
    <w:tmpl w:val="EE48E65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 w15:restartNumberingAfterBreak="0">
    <w:nsid w:val="09EB3277"/>
    <w:multiLevelType w:val="hybridMultilevel"/>
    <w:tmpl w:val="36A6F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C552B"/>
    <w:multiLevelType w:val="hybridMultilevel"/>
    <w:tmpl w:val="4C12A85E"/>
    <w:lvl w:ilvl="0" w:tplc="A49EF094">
      <w:start w:val="1"/>
      <w:numFmt w:val="decimal"/>
      <w:lvlText w:val="%1."/>
      <w:lvlJc w:val="left"/>
      <w:pPr>
        <w:ind w:left="833" w:hanging="721"/>
      </w:pPr>
      <w:rPr>
        <w:rFonts w:ascii="Arial" w:eastAsia="Arial" w:hAnsi="Arial" w:cs="Arial" w:hint="default"/>
        <w:b/>
        <w:bCs/>
        <w:spacing w:val="-1"/>
        <w:w w:val="100"/>
        <w:sz w:val="28"/>
        <w:szCs w:val="28"/>
        <w:lang w:val="en-GB" w:eastAsia="en-GB" w:bidi="en-GB"/>
      </w:rPr>
    </w:lvl>
    <w:lvl w:ilvl="1" w:tplc="DCC4CDD2">
      <w:numFmt w:val="bullet"/>
      <w:lvlText w:val=""/>
      <w:lvlJc w:val="left"/>
      <w:pPr>
        <w:ind w:left="518" w:hanging="265"/>
      </w:pPr>
      <w:rPr>
        <w:rFonts w:ascii="Symbol" w:eastAsia="Symbol" w:hAnsi="Symbol" w:cs="Symbol" w:hint="default"/>
        <w:w w:val="100"/>
        <w:sz w:val="22"/>
        <w:szCs w:val="22"/>
        <w:lang w:val="en-GB" w:eastAsia="en-GB" w:bidi="en-GB"/>
      </w:rPr>
    </w:lvl>
    <w:lvl w:ilvl="2" w:tplc="AE0213DE">
      <w:numFmt w:val="bullet"/>
      <w:lvlText w:val="•"/>
      <w:lvlJc w:val="left"/>
      <w:pPr>
        <w:ind w:left="840" w:hanging="265"/>
      </w:pPr>
      <w:rPr>
        <w:rFonts w:hint="default"/>
        <w:lang w:val="en-GB" w:eastAsia="en-GB" w:bidi="en-GB"/>
      </w:rPr>
    </w:lvl>
    <w:lvl w:ilvl="3" w:tplc="83781206">
      <w:numFmt w:val="bullet"/>
      <w:lvlText w:val="•"/>
      <w:lvlJc w:val="left"/>
      <w:pPr>
        <w:ind w:left="2018" w:hanging="265"/>
      </w:pPr>
      <w:rPr>
        <w:rFonts w:hint="default"/>
        <w:lang w:val="en-GB" w:eastAsia="en-GB" w:bidi="en-GB"/>
      </w:rPr>
    </w:lvl>
    <w:lvl w:ilvl="4" w:tplc="E4FC5E46">
      <w:numFmt w:val="bullet"/>
      <w:lvlText w:val="•"/>
      <w:lvlJc w:val="left"/>
      <w:pPr>
        <w:ind w:left="3196" w:hanging="265"/>
      </w:pPr>
      <w:rPr>
        <w:rFonts w:hint="default"/>
        <w:lang w:val="en-GB" w:eastAsia="en-GB" w:bidi="en-GB"/>
      </w:rPr>
    </w:lvl>
    <w:lvl w:ilvl="5" w:tplc="0180F85E">
      <w:numFmt w:val="bullet"/>
      <w:lvlText w:val="•"/>
      <w:lvlJc w:val="left"/>
      <w:pPr>
        <w:ind w:left="4374" w:hanging="265"/>
      </w:pPr>
      <w:rPr>
        <w:rFonts w:hint="default"/>
        <w:lang w:val="en-GB" w:eastAsia="en-GB" w:bidi="en-GB"/>
      </w:rPr>
    </w:lvl>
    <w:lvl w:ilvl="6" w:tplc="E5CC73AE">
      <w:numFmt w:val="bullet"/>
      <w:lvlText w:val="•"/>
      <w:lvlJc w:val="left"/>
      <w:pPr>
        <w:ind w:left="5553" w:hanging="265"/>
      </w:pPr>
      <w:rPr>
        <w:rFonts w:hint="default"/>
        <w:lang w:val="en-GB" w:eastAsia="en-GB" w:bidi="en-GB"/>
      </w:rPr>
    </w:lvl>
    <w:lvl w:ilvl="7" w:tplc="45EC013E">
      <w:numFmt w:val="bullet"/>
      <w:lvlText w:val="•"/>
      <w:lvlJc w:val="left"/>
      <w:pPr>
        <w:ind w:left="6731" w:hanging="265"/>
      </w:pPr>
      <w:rPr>
        <w:rFonts w:hint="default"/>
        <w:lang w:val="en-GB" w:eastAsia="en-GB" w:bidi="en-GB"/>
      </w:rPr>
    </w:lvl>
    <w:lvl w:ilvl="8" w:tplc="177C6866">
      <w:numFmt w:val="bullet"/>
      <w:lvlText w:val="•"/>
      <w:lvlJc w:val="left"/>
      <w:pPr>
        <w:ind w:left="7909" w:hanging="265"/>
      </w:pPr>
      <w:rPr>
        <w:rFonts w:hint="default"/>
        <w:lang w:val="en-GB" w:eastAsia="en-GB" w:bidi="en-GB"/>
      </w:rPr>
    </w:lvl>
  </w:abstractNum>
  <w:abstractNum w:abstractNumId="4" w15:restartNumberingAfterBreak="0">
    <w:nsid w:val="22CC2C99"/>
    <w:multiLevelType w:val="hybridMultilevel"/>
    <w:tmpl w:val="34C83E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06E30EF"/>
    <w:multiLevelType w:val="multilevel"/>
    <w:tmpl w:val="C30E71C8"/>
    <w:lvl w:ilvl="0">
      <w:start w:val="2"/>
      <w:numFmt w:val="decimal"/>
      <w:lvlText w:val="%1"/>
      <w:lvlJc w:val="left"/>
      <w:pPr>
        <w:ind w:left="530" w:hanging="530"/>
      </w:pPr>
      <w:rPr>
        <w:rFonts w:hint="default"/>
      </w:rPr>
    </w:lvl>
    <w:lvl w:ilvl="1">
      <w:start w:val="2"/>
      <w:numFmt w:val="decimal"/>
      <w:lvlText w:val="%1.%2"/>
      <w:lvlJc w:val="left"/>
      <w:pPr>
        <w:ind w:left="586" w:hanging="530"/>
      </w:pPr>
      <w:rPr>
        <w:rFonts w:hint="default"/>
      </w:rPr>
    </w:lvl>
    <w:lvl w:ilvl="2">
      <w:start w:val="3"/>
      <w:numFmt w:val="decimal"/>
      <w:pStyle w:val="Heading3"/>
      <w:lvlText w:val="%1.%2.%3"/>
      <w:lvlJc w:val="left"/>
      <w:pPr>
        <w:ind w:left="832" w:hanging="720"/>
      </w:pPr>
      <w:rPr>
        <w:rFonts w:hint="default"/>
      </w:rPr>
    </w:lvl>
    <w:lvl w:ilvl="3">
      <w:start w:val="1"/>
      <w:numFmt w:val="decimal"/>
      <w:lvlText w:val="%1.%2.%3.%4"/>
      <w:lvlJc w:val="left"/>
      <w:pPr>
        <w:ind w:left="1248" w:hanging="108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720" w:hanging="144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2192" w:hanging="1800"/>
      </w:pPr>
      <w:rPr>
        <w:rFonts w:hint="default"/>
      </w:rPr>
    </w:lvl>
    <w:lvl w:ilvl="8">
      <w:start w:val="1"/>
      <w:numFmt w:val="decimal"/>
      <w:lvlText w:val="%1.%2.%3.%4.%5.%6.%7.%8.%9"/>
      <w:lvlJc w:val="left"/>
      <w:pPr>
        <w:ind w:left="2248" w:hanging="1800"/>
      </w:pPr>
      <w:rPr>
        <w:rFonts w:hint="default"/>
      </w:rPr>
    </w:lvl>
  </w:abstractNum>
  <w:abstractNum w:abstractNumId="6" w15:restartNumberingAfterBreak="0">
    <w:nsid w:val="30C9512F"/>
    <w:multiLevelType w:val="hybridMultilevel"/>
    <w:tmpl w:val="CE5A05B6"/>
    <w:lvl w:ilvl="0" w:tplc="84EE3A5E">
      <w:numFmt w:val="bullet"/>
      <w:lvlText w:val=""/>
      <w:lvlJc w:val="left"/>
      <w:pPr>
        <w:ind w:left="540" w:hanging="287"/>
      </w:pPr>
      <w:rPr>
        <w:rFonts w:ascii="Symbol" w:eastAsia="Symbol" w:hAnsi="Symbol" w:cs="Symbol" w:hint="default"/>
        <w:w w:val="100"/>
        <w:sz w:val="22"/>
        <w:szCs w:val="22"/>
        <w:lang w:val="en-GB" w:eastAsia="en-GB" w:bidi="en-GB"/>
      </w:rPr>
    </w:lvl>
    <w:lvl w:ilvl="1" w:tplc="7568A4DE">
      <w:numFmt w:val="bullet"/>
      <w:lvlText w:val="•"/>
      <w:lvlJc w:val="left"/>
      <w:pPr>
        <w:ind w:left="1512" w:hanging="287"/>
      </w:pPr>
      <w:rPr>
        <w:rFonts w:hint="default"/>
        <w:lang w:val="en-GB" w:eastAsia="en-GB" w:bidi="en-GB"/>
      </w:rPr>
    </w:lvl>
    <w:lvl w:ilvl="2" w:tplc="5470D9EC">
      <w:numFmt w:val="bullet"/>
      <w:lvlText w:val="•"/>
      <w:lvlJc w:val="left"/>
      <w:pPr>
        <w:ind w:left="2485" w:hanging="287"/>
      </w:pPr>
      <w:rPr>
        <w:rFonts w:hint="default"/>
        <w:lang w:val="en-GB" w:eastAsia="en-GB" w:bidi="en-GB"/>
      </w:rPr>
    </w:lvl>
    <w:lvl w:ilvl="3" w:tplc="E75EBCC8">
      <w:numFmt w:val="bullet"/>
      <w:lvlText w:val="•"/>
      <w:lvlJc w:val="left"/>
      <w:pPr>
        <w:ind w:left="3457" w:hanging="287"/>
      </w:pPr>
      <w:rPr>
        <w:rFonts w:hint="default"/>
        <w:lang w:val="en-GB" w:eastAsia="en-GB" w:bidi="en-GB"/>
      </w:rPr>
    </w:lvl>
    <w:lvl w:ilvl="4" w:tplc="C8923DC6">
      <w:numFmt w:val="bullet"/>
      <w:lvlText w:val="•"/>
      <w:lvlJc w:val="left"/>
      <w:pPr>
        <w:ind w:left="4430" w:hanging="287"/>
      </w:pPr>
      <w:rPr>
        <w:rFonts w:hint="default"/>
        <w:lang w:val="en-GB" w:eastAsia="en-GB" w:bidi="en-GB"/>
      </w:rPr>
    </w:lvl>
    <w:lvl w:ilvl="5" w:tplc="4C4C8AFA">
      <w:numFmt w:val="bullet"/>
      <w:lvlText w:val="•"/>
      <w:lvlJc w:val="left"/>
      <w:pPr>
        <w:ind w:left="5403" w:hanging="287"/>
      </w:pPr>
      <w:rPr>
        <w:rFonts w:hint="default"/>
        <w:lang w:val="en-GB" w:eastAsia="en-GB" w:bidi="en-GB"/>
      </w:rPr>
    </w:lvl>
    <w:lvl w:ilvl="6" w:tplc="4072D22E">
      <w:numFmt w:val="bullet"/>
      <w:lvlText w:val="•"/>
      <w:lvlJc w:val="left"/>
      <w:pPr>
        <w:ind w:left="6375" w:hanging="287"/>
      </w:pPr>
      <w:rPr>
        <w:rFonts w:hint="default"/>
        <w:lang w:val="en-GB" w:eastAsia="en-GB" w:bidi="en-GB"/>
      </w:rPr>
    </w:lvl>
    <w:lvl w:ilvl="7" w:tplc="B810D2D6">
      <w:numFmt w:val="bullet"/>
      <w:lvlText w:val="•"/>
      <w:lvlJc w:val="left"/>
      <w:pPr>
        <w:ind w:left="7348" w:hanging="287"/>
      </w:pPr>
      <w:rPr>
        <w:rFonts w:hint="default"/>
        <w:lang w:val="en-GB" w:eastAsia="en-GB" w:bidi="en-GB"/>
      </w:rPr>
    </w:lvl>
    <w:lvl w:ilvl="8" w:tplc="068EF9E0">
      <w:numFmt w:val="bullet"/>
      <w:lvlText w:val="•"/>
      <w:lvlJc w:val="left"/>
      <w:pPr>
        <w:ind w:left="8321" w:hanging="287"/>
      </w:pPr>
      <w:rPr>
        <w:rFonts w:hint="default"/>
        <w:lang w:val="en-GB" w:eastAsia="en-GB" w:bidi="en-GB"/>
      </w:rPr>
    </w:lvl>
  </w:abstractNum>
  <w:abstractNum w:abstractNumId="7" w15:restartNumberingAfterBreak="0">
    <w:nsid w:val="34584F81"/>
    <w:multiLevelType w:val="hybridMultilevel"/>
    <w:tmpl w:val="ADB0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C13E2"/>
    <w:multiLevelType w:val="hybridMultilevel"/>
    <w:tmpl w:val="8CF64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82875"/>
    <w:multiLevelType w:val="hybridMultilevel"/>
    <w:tmpl w:val="B808906C"/>
    <w:lvl w:ilvl="0" w:tplc="1F16E136">
      <w:start w:val="1"/>
      <w:numFmt w:val="decimal"/>
      <w:lvlText w:val="%1."/>
      <w:lvlJc w:val="left"/>
      <w:pPr>
        <w:ind w:left="382" w:hanging="270"/>
      </w:pPr>
      <w:rPr>
        <w:rFonts w:ascii="Arial" w:eastAsia="Arial" w:hAnsi="Arial" w:cs="Arial" w:hint="default"/>
        <w:b/>
        <w:bCs/>
        <w:w w:val="99"/>
        <w:sz w:val="24"/>
        <w:szCs w:val="24"/>
        <w:lang w:val="en-GB" w:eastAsia="en-GB" w:bidi="en-GB"/>
      </w:rPr>
    </w:lvl>
    <w:lvl w:ilvl="1" w:tplc="505A0144">
      <w:numFmt w:val="bullet"/>
      <w:lvlText w:val=""/>
      <w:lvlJc w:val="left"/>
      <w:pPr>
        <w:ind w:left="540" w:hanging="287"/>
      </w:pPr>
      <w:rPr>
        <w:rFonts w:ascii="Symbol" w:eastAsia="Symbol" w:hAnsi="Symbol" w:cs="Symbol" w:hint="default"/>
        <w:w w:val="100"/>
        <w:sz w:val="22"/>
        <w:szCs w:val="22"/>
        <w:lang w:val="en-GB" w:eastAsia="en-GB" w:bidi="en-GB"/>
      </w:rPr>
    </w:lvl>
    <w:lvl w:ilvl="2" w:tplc="D032B94A">
      <w:numFmt w:val="bullet"/>
      <w:lvlText w:val="•"/>
      <w:lvlJc w:val="left"/>
      <w:pPr>
        <w:ind w:left="626" w:hanging="287"/>
      </w:pPr>
      <w:rPr>
        <w:rFonts w:hint="default"/>
        <w:lang w:val="en-GB" w:eastAsia="en-GB" w:bidi="en-GB"/>
      </w:rPr>
    </w:lvl>
    <w:lvl w:ilvl="3" w:tplc="EF6EF908">
      <w:numFmt w:val="bullet"/>
      <w:lvlText w:val="•"/>
      <w:lvlJc w:val="left"/>
      <w:pPr>
        <w:ind w:left="712" w:hanging="287"/>
      </w:pPr>
      <w:rPr>
        <w:rFonts w:hint="default"/>
        <w:lang w:val="en-GB" w:eastAsia="en-GB" w:bidi="en-GB"/>
      </w:rPr>
    </w:lvl>
    <w:lvl w:ilvl="4" w:tplc="2D765330">
      <w:numFmt w:val="bullet"/>
      <w:lvlText w:val="•"/>
      <w:lvlJc w:val="left"/>
      <w:pPr>
        <w:ind w:left="798" w:hanging="287"/>
      </w:pPr>
      <w:rPr>
        <w:rFonts w:hint="default"/>
        <w:lang w:val="en-GB" w:eastAsia="en-GB" w:bidi="en-GB"/>
      </w:rPr>
    </w:lvl>
    <w:lvl w:ilvl="5" w:tplc="C91A6CA8">
      <w:numFmt w:val="bullet"/>
      <w:lvlText w:val="•"/>
      <w:lvlJc w:val="left"/>
      <w:pPr>
        <w:ind w:left="884" w:hanging="287"/>
      </w:pPr>
      <w:rPr>
        <w:rFonts w:hint="default"/>
        <w:lang w:val="en-GB" w:eastAsia="en-GB" w:bidi="en-GB"/>
      </w:rPr>
    </w:lvl>
    <w:lvl w:ilvl="6" w:tplc="E924B734">
      <w:numFmt w:val="bullet"/>
      <w:lvlText w:val="•"/>
      <w:lvlJc w:val="left"/>
      <w:pPr>
        <w:ind w:left="970" w:hanging="287"/>
      </w:pPr>
      <w:rPr>
        <w:rFonts w:hint="default"/>
        <w:lang w:val="en-GB" w:eastAsia="en-GB" w:bidi="en-GB"/>
      </w:rPr>
    </w:lvl>
    <w:lvl w:ilvl="7" w:tplc="EBBC3922">
      <w:numFmt w:val="bullet"/>
      <w:lvlText w:val="•"/>
      <w:lvlJc w:val="left"/>
      <w:pPr>
        <w:ind w:left="1056" w:hanging="287"/>
      </w:pPr>
      <w:rPr>
        <w:rFonts w:hint="default"/>
        <w:lang w:val="en-GB" w:eastAsia="en-GB" w:bidi="en-GB"/>
      </w:rPr>
    </w:lvl>
    <w:lvl w:ilvl="8" w:tplc="2A74EDF2">
      <w:numFmt w:val="bullet"/>
      <w:lvlText w:val="•"/>
      <w:lvlJc w:val="left"/>
      <w:pPr>
        <w:ind w:left="1143" w:hanging="287"/>
      </w:pPr>
      <w:rPr>
        <w:rFonts w:hint="default"/>
        <w:lang w:val="en-GB" w:eastAsia="en-GB" w:bidi="en-GB"/>
      </w:rPr>
    </w:lvl>
  </w:abstractNum>
  <w:abstractNum w:abstractNumId="10" w15:restartNumberingAfterBreak="0">
    <w:nsid w:val="79D532A3"/>
    <w:multiLevelType w:val="multilevel"/>
    <w:tmpl w:val="0C4C366A"/>
    <w:lvl w:ilvl="0">
      <w:start w:val="4"/>
      <w:numFmt w:val="decimal"/>
      <w:lvlText w:val="%1"/>
      <w:lvlJc w:val="left"/>
      <w:pPr>
        <w:ind w:left="516" w:hanging="404"/>
      </w:pPr>
      <w:rPr>
        <w:rFonts w:hint="default"/>
        <w:lang w:val="en-GB" w:eastAsia="en-GB" w:bidi="en-GB"/>
      </w:rPr>
    </w:lvl>
    <w:lvl w:ilvl="1">
      <w:start w:val="1"/>
      <w:numFmt w:val="decimal"/>
      <w:lvlText w:val="%1.%2"/>
      <w:lvlJc w:val="left"/>
      <w:pPr>
        <w:ind w:left="516" w:hanging="404"/>
      </w:pPr>
      <w:rPr>
        <w:rFonts w:ascii="Arial" w:eastAsia="Arial" w:hAnsi="Arial" w:cs="Arial" w:hint="default"/>
        <w:b/>
        <w:bCs/>
        <w:w w:val="99"/>
        <w:sz w:val="24"/>
        <w:szCs w:val="24"/>
        <w:lang w:val="en-GB" w:eastAsia="en-GB" w:bidi="en-GB"/>
      </w:rPr>
    </w:lvl>
    <w:lvl w:ilvl="2">
      <w:start w:val="1"/>
      <w:numFmt w:val="decimal"/>
      <w:lvlText w:val="%1.%2.%3"/>
      <w:lvlJc w:val="left"/>
      <w:pPr>
        <w:ind w:left="665" w:hanging="553"/>
      </w:pPr>
      <w:rPr>
        <w:rFonts w:ascii="Arial" w:eastAsia="Arial" w:hAnsi="Arial" w:cs="Arial" w:hint="default"/>
        <w:b/>
        <w:bCs/>
        <w:spacing w:val="-1"/>
        <w:w w:val="100"/>
        <w:sz w:val="22"/>
        <w:szCs w:val="22"/>
        <w:lang w:val="en-GB" w:eastAsia="en-GB" w:bidi="en-GB"/>
      </w:rPr>
    </w:lvl>
    <w:lvl w:ilvl="3">
      <w:numFmt w:val="bullet"/>
      <w:lvlText w:val=""/>
      <w:lvlJc w:val="left"/>
      <w:pPr>
        <w:ind w:left="679" w:hanging="284"/>
      </w:pPr>
      <w:rPr>
        <w:rFonts w:ascii="Symbol" w:eastAsia="Symbol" w:hAnsi="Symbol" w:cs="Symbol" w:hint="default"/>
        <w:w w:val="100"/>
        <w:sz w:val="22"/>
        <w:szCs w:val="22"/>
        <w:lang w:val="en-GB" w:eastAsia="en-GB" w:bidi="en-GB"/>
      </w:rPr>
    </w:lvl>
    <w:lvl w:ilvl="4">
      <w:numFmt w:val="bullet"/>
      <w:lvlText w:val="•"/>
      <w:lvlJc w:val="left"/>
      <w:pPr>
        <w:ind w:left="3076" w:hanging="284"/>
      </w:pPr>
      <w:rPr>
        <w:rFonts w:hint="default"/>
        <w:lang w:val="en-GB" w:eastAsia="en-GB" w:bidi="en-GB"/>
      </w:rPr>
    </w:lvl>
    <w:lvl w:ilvl="5">
      <w:numFmt w:val="bullet"/>
      <w:lvlText w:val="•"/>
      <w:lvlJc w:val="left"/>
      <w:pPr>
        <w:ind w:left="4274" w:hanging="284"/>
      </w:pPr>
      <w:rPr>
        <w:rFonts w:hint="default"/>
        <w:lang w:val="en-GB" w:eastAsia="en-GB" w:bidi="en-GB"/>
      </w:rPr>
    </w:lvl>
    <w:lvl w:ilvl="6">
      <w:numFmt w:val="bullet"/>
      <w:lvlText w:val="•"/>
      <w:lvlJc w:val="left"/>
      <w:pPr>
        <w:ind w:left="5473" w:hanging="284"/>
      </w:pPr>
      <w:rPr>
        <w:rFonts w:hint="default"/>
        <w:lang w:val="en-GB" w:eastAsia="en-GB" w:bidi="en-GB"/>
      </w:rPr>
    </w:lvl>
    <w:lvl w:ilvl="7">
      <w:numFmt w:val="bullet"/>
      <w:lvlText w:val="•"/>
      <w:lvlJc w:val="left"/>
      <w:pPr>
        <w:ind w:left="6671" w:hanging="284"/>
      </w:pPr>
      <w:rPr>
        <w:rFonts w:hint="default"/>
        <w:lang w:val="en-GB" w:eastAsia="en-GB" w:bidi="en-GB"/>
      </w:rPr>
    </w:lvl>
    <w:lvl w:ilvl="8">
      <w:numFmt w:val="bullet"/>
      <w:lvlText w:val="•"/>
      <w:lvlJc w:val="left"/>
      <w:pPr>
        <w:ind w:left="7869" w:hanging="284"/>
      </w:pPr>
      <w:rPr>
        <w:rFonts w:hint="default"/>
        <w:lang w:val="en-GB" w:eastAsia="en-GB" w:bidi="en-GB"/>
      </w:rPr>
    </w:lvl>
  </w:abstractNum>
  <w:num w:numId="1">
    <w:abstractNumId w:val="9"/>
  </w:num>
  <w:num w:numId="2">
    <w:abstractNumId w:val="10"/>
  </w:num>
  <w:num w:numId="3">
    <w:abstractNumId w:val="6"/>
  </w:num>
  <w:num w:numId="4">
    <w:abstractNumId w:val="3"/>
  </w:num>
  <w:num w:numId="5">
    <w:abstractNumId w:val="1"/>
  </w:num>
  <w:num w:numId="6">
    <w:abstractNumId w:val="2"/>
  </w:num>
  <w:num w:numId="7">
    <w:abstractNumId w:val="7"/>
  </w:num>
  <w:num w:numId="8">
    <w:abstractNumId w:val="8"/>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E7"/>
    <w:rsid w:val="004908E0"/>
    <w:rsid w:val="00A14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37F5E40-48CC-4422-AC8F-091E7EAB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E7"/>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A141E7"/>
    <w:pPr>
      <w:spacing w:before="13"/>
      <w:outlineLvl w:val="0"/>
    </w:pPr>
    <w:rPr>
      <w:b/>
      <w:bCs/>
      <w:sz w:val="32"/>
      <w:szCs w:val="32"/>
    </w:rPr>
  </w:style>
  <w:style w:type="paragraph" w:styleId="Heading2">
    <w:name w:val="heading 2"/>
    <w:basedOn w:val="Normal"/>
    <w:link w:val="Heading2Char"/>
    <w:uiPriority w:val="9"/>
    <w:unhideWhenUsed/>
    <w:qFormat/>
    <w:rsid w:val="00A141E7"/>
    <w:pPr>
      <w:ind w:left="112"/>
      <w:outlineLvl w:val="1"/>
    </w:pPr>
    <w:rPr>
      <w:b/>
      <w:bCs/>
      <w:sz w:val="28"/>
      <w:szCs w:val="28"/>
    </w:rPr>
  </w:style>
  <w:style w:type="paragraph" w:styleId="Heading3">
    <w:name w:val="heading 3"/>
    <w:basedOn w:val="Normal"/>
    <w:link w:val="Heading3Char"/>
    <w:autoRedefine/>
    <w:uiPriority w:val="9"/>
    <w:unhideWhenUsed/>
    <w:qFormat/>
    <w:rsid w:val="00A141E7"/>
    <w:pPr>
      <w:numPr>
        <w:ilvl w:val="2"/>
        <w:numId w:val="10"/>
      </w:numPr>
      <w:ind w:hanging="83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1E7"/>
    <w:rPr>
      <w:rFonts w:ascii="Arial" w:eastAsia="Arial" w:hAnsi="Arial" w:cs="Arial"/>
      <w:b/>
      <w:bCs/>
      <w:sz w:val="32"/>
      <w:szCs w:val="32"/>
      <w:lang w:eastAsia="en-GB" w:bidi="en-GB"/>
    </w:rPr>
  </w:style>
  <w:style w:type="character" w:customStyle="1" w:styleId="Heading2Char">
    <w:name w:val="Heading 2 Char"/>
    <w:basedOn w:val="DefaultParagraphFont"/>
    <w:link w:val="Heading2"/>
    <w:uiPriority w:val="9"/>
    <w:rsid w:val="00A141E7"/>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A141E7"/>
    <w:rPr>
      <w:rFonts w:ascii="Arial" w:eastAsia="Arial" w:hAnsi="Arial" w:cs="Arial"/>
      <w:b/>
      <w:bCs/>
      <w:sz w:val="24"/>
      <w:szCs w:val="24"/>
      <w:lang w:eastAsia="en-GB" w:bidi="en-GB"/>
    </w:rPr>
  </w:style>
  <w:style w:type="paragraph" w:styleId="TOC1">
    <w:name w:val="toc 1"/>
    <w:basedOn w:val="Normal"/>
    <w:autoRedefine/>
    <w:uiPriority w:val="39"/>
    <w:qFormat/>
    <w:rsid w:val="00A141E7"/>
    <w:pPr>
      <w:spacing w:before="360"/>
    </w:pPr>
    <w:rPr>
      <w:rFonts w:asciiTheme="majorHAnsi" w:hAnsiTheme="majorHAnsi"/>
      <w:b/>
      <w:bCs/>
      <w:caps/>
      <w:sz w:val="24"/>
      <w:szCs w:val="24"/>
    </w:rPr>
  </w:style>
  <w:style w:type="paragraph" w:styleId="TOC2">
    <w:name w:val="toc 2"/>
    <w:basedOn w:val="Normal"/>
    <w:link w:val="TOC2Char"/>
    <w:uiPriority w:val="39"/>
    <w:qFormat/>
    <w:rsid w:val="00A141E7"/>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A141E7"/>
  </w:style>
  <w:style w:type="character" w:customStyle="1" w:styleId="BodyTextChar">
    <w:name w:val="Body Text Char"/>
    <w:basedOn w:val="DefaultParagraphFont"/>
    <w:link w:val="BodyText"/>
    <w:uiPriority w:val="1"/>
    <w:rsid w:val="00A141E7"/>
    <w:rPr>
      <w:rFonts w:ascii="Arial" w:eastAsia="Arial" w:hAnsi="Arial" w:cs="Arial"/>
      <w:lang w:eastAsia="en-GB" w:bidi="en-GB"/>
    </w:rPr>
  </w:style>
  <w:style w:type="paragraph" w:styleId="ListParagraph">
    <w:name w:val="List Paragraph"/>
    <w:basedOn w:val="Normal"/>
    <w:uiPriority w:val="34"/>
    <w:qFormat/>
    <w:rsid w:val="00A141E7"/>
    <w:pPr>
      <w:ind w:left="540" w:hanging="286"/>
    </w:pPr>
  </w:style>
  <w:style w:type="paragraph" w:customStyle="1" w:styleId="TableParagraph">
    <w:name w:val="Table Paragraph"/>
    <w:basedOn w:val="Normal"/>
    <w:uiPriority w:val="1"/>
    <w:qFormat/>
    <w:rsid w:val="00A141E7"/>
  </w:style>
  <w:style w:type="character" w:styleId="Hyperlink">
    <w:name w:val="Hyperlink"/>
    <w:basedOn w:val="DefaultParagraphFont"/>
    <w:uiPriority w:val="99"/>
    <w:unhideWhenUsed/>
    <w:rsid w:val="00A141E7"/>
    <w:rPr>
      <w:color w:val="0563C1" w:themeColor="hyperlink"/>
      <w:u w:val="single"/>
    </w:rPr>
  </w:style>
  <w:style w:type="paragraph" w:styleId="Header">
    <w:name w:val="header"/>
    <w:basedOn w:val="Normal"/>
    <w:link w:val="HeaderChar"/>
    <w:uiPriority w:val="99"/>
    <w:unhideWhenUsed/>
    <w:rsid w:val="00A141E7"/>
    <w:pPr>
      <w:tabs>
        <w:tab w:val="center" w:pos="4513"/>
        <w:tab w:val="right" w:pos="9026"/>
      </w:tabs>
    </w:pPr>
  </w:style>
  <w:style w:type="character" w:customStyle="1" w:styleId="HeaderChar">
    <w:name w:val="Header Char"/>
    <w:basedOn w:val="DefaultParagraphFont"/>
    <w:link w:val="Header"/>
    <w:uiPriority w:val="99"/>
    <w:rsid w:val="00A141E7"/>
    <w:rPr>
      <w:rFonts w:ascii="Arial" w:eastAsia="Arial" w:hAnsi="Arial" w:cs="Arial"/>
      <w:lang w:eastAsia="en-GB" w:bidi="en-GB"/>
    </w:rPr>
  </w:style>
  <w:style w:type="paragraph" w:styleId="Footer">
    <w:name w:val="footer"/>
    <w:basedOn w:val="Normal"/>
    <w:link w:val="FooterChar"/>
    <w:uiPriority w:val="99"/>
    <w:unhideWhenUsed/>
    <w:rsid w:val="00A141E7"/>
    <w:pPr>
      <w:tabs>
        <w:tab w:val="center" w:pos="4513"/>
        <w:tab w:val="right" w:pos="9026"/>
      </w:tabs>
    </w:pPr>
  </w:style>
  <w:style w:type="character" w:customStyle="1" w:styleId="FooterChar">
    <w:name w:val="Footer Char"/>
    <w:basedOn w:val="DefaultParagraphFont"/>
    <w:link w:val="Footer"/>
    <w:uiPriority w:val="99"/>
    <w:rsid w:val="00A141E7"/>
    <w:rPr>
      <w:rFonts w:ascii="Arial" w:eastAsia="Arial" w:hAnsi="Arial" w:cs="Arial"/>
      <w:lang w:eastAsia="en-GB" w:bidi="en-GB"/>
    </w:rPr>
  </w:style>
  <w:style w:type="paragraph" w:styleId="TOC3">
    <w:name w:val="toc 3"/>
    <w:basedOn w:val="Normal"/>
    <w:next w:val="Normal"/>
    <w:autoRedefine/>
    <w:uiPriority w:val="39"/>
    <w:unhideWhenUsed/>
    <w:rsid w:val="00A141E7"/>
    <w:pPr>
      <w:ind w:left="220"/>
    </w:pPr>
    <w:rPr>
      <w:rFonts w:asciiTheme="minorHAnsi" w:hAnsiTheme="minorHAnsi" w:cstheme="minorHAnsi"/>
      <w:sz w:val="20"/>
      <w:szCs w:val="20"/>
    </w:rPr>
  </w:style>
  <w:style w:type="paragraph" w:styleId="TOCHeading">
    <w:name w:val="TOC Heading"/>
    <w:basedOn w:val="Heading1"/>
    <w:next w:val="Normal"/>
    <w:uiPriority w:val="39"/>
    <w:unhideWhenUsed/>
    <w:qFormat/>
    <w:rsid w:val="00A141E7"/>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lang w:val="en-US" w:eastAsia="en-US" w:bidi="ar-SA"/>
    </w:rPr>
  </w:style>
  <w:style w:type="character" w:customStyle="1" w:styleId="TOC2Char">
    <w:name w:val="TOC 2 Char"/>
    <w:basedOn w:val="DefaultParagraphFont"/>
    <w:link w:val="TOC2"/>
    <w:uiPriority w:val="39"/>
    <w:rsid w:val="00A141E7"/>
    <w:rPr>
      <w:rFonts w:eastAsia="Arial" w:cstheme="minorHAnsi"/>
      <w:b/>
      <w:bCs/>
      <w:sz w:val="20"/>
      <w:szCs w:val="20"/>
      <w:lang w:eastAsia="en-GB" w:bidi="en-GB"/>
    </w:rPr>
  </w:style>
  <w:style w:type="table" w:styleId="TableGrid">
    <w:name w:val="Table Grid"/>
    <w:basedOn w:val="TableNormal"/>
    <w:uiPriority w:val="39"/>
    <w:rsid w:val="00A1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141E7"/>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eeoe.hee.nhs.uk/faculty-educators/out-programme-oo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mailto:phschool.eoe@hee.nhs.uk"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https://heeoe.hee.nhs.uk/public_health" TargetMode="External"/><Relationship Id="rId5" Type="http://schemas.openxmlformats.org/officeDocument/2006/relationships/image" Target="media/image1.png"/><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3377</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Watson</dc:creator>
  <cp:keywords/>
  <dc:description/>
  <cp:lastModifiedBy>Kirsteen Watson</cp:lastModifiedBy>
  <cp:revision>1</cp:revision>
  <dcterms:created xsi:type="dcterms:W3CDTF">2022-07-20T10:22:00Z</dcterms:created>
  <dcterms:modified xsi:type="dcterms:W3CDTF">2022-07-20T10:23:00Z</dcterms:modified>
</cp:coreProperties>
</file>