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A" w:rsidRDefault="00CB6B0A" w:rsidP="00CB6B0A"/>
    <w:p w:rsidR="00CB6B0A" w:rsidRDefault="00CB6B0A" w:rsidP="00CB6B0A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In</w:t>
      </w:r>
      <w:r>
        <w:rPr>
          <w:rFonts w:cs="Arial"/>
          <w:b/>
          <w:sz w:val="22"/>
          <w:szCs w:val="22"/>
        </w:rPr>
        <w:t xml:space="preserve">dividual placement description </w:t>
      </w:r>
    </w:p>
    <w:p w:rsidR="00CB6B0A" w:rsidRDefault="00CB6B0A" w:rsidP="00CB6B0A">
      <w:pPr>
        <w:tabs>
          <w:tab w:val="center" w:pos="5040"/>
          <w:tab w:val="right" w:pos="9900"/>
        </w:tabs>
      </w:pPr>
      <w:r>
        <w:tab/>
      </w:r>
      <w:r>
        <w:tab/>
      </w:r>
    </w:p>
    <w:p w:rsidR="00CB6B0A" w:rsidRDefault="00CB6B0A" w:rsidP="00CB6B0A">
      <w:pPr>
        <w:jc w:val="center"/>
        <w:rPr>
          <w:rFonts w:cs="Arial"/>
          <w:b/>
          <w:sz w:val="28"/>
          <w:szCs w:val="28"/>
        </w:rPr>
      </w:pPr>
    </w:p>
    <w:p w:rsidR="00CB6B0A" w:rsidRPr="00EB538A" w:rsidRDefault="00CB6B0A" w:rsidP="00CB6B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EB538A">
        <w:rPr>
          <w:rFonts w:cs="Arial"/>
          <w:b/>
          <w:sz w:val="28"/>
          <w:szCs w:val="28"/>
        </w:rPr>
        <w:t>Foundation School</w:t>
      </w:r>
    </w:p>
    <w:p w:rsidR="00CB6B0A" w:rsidRDefault="00CB6B0A" w:rsidP="00CB6B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</w:t>
      </w:r>
    </w:p>
    <w:p w:rsidR="00CB6B0A" w:rsidRDefault="00CB6B0A" w:rsidP="00CB6B0A">
      <w:pPr>
        <w:jc w:val="center"/>
        <w:rPr>
          <w:rFonts w:cs="Arial"/>
          <w:b/>
          <w:sz w:val="28"/>
          <w:szCs w:val="28"/>
        </w:rPr>
      </w:pPr>
    </w:p>
    <w:p w:rsidR="00CB6B0A" w:rsidRDefault="00CB6B0A" w:rsidP="00CB6B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Bedford Hospital NHS Trust</w:t>
      </w:r>
      <w:r w:rsidRPr="00EB538A">
        <w:rPr>
          <w:rFonts w:cs="Arial"/>
          <w:b/>
          <w:sz w:val="28"/>
          <w:szCs w:val="28"/>
        </w:rPr>
        <w:t xml:space="preserve"> </w:t>
      </w:r>
    </w:p>
    <w:p w:rsidR="00CB6B0A" w:rsidRDefault="00CB6B0A" w:rsidP="00CB6B0A">
      <w:pPr>
        <w:rPr>
          <w:rFonts w:cs="Arial"/>
          <w:sz w:val="22"/>
          <w:szCs w:val="22"/>
        </w:rPr>
      </w:pPr>
    </w:p>
    <w:p w:rsidR="00CB6B0A" w:rsidRDefault="00CB6B0A" w:rsidP="00CB6B0A">
      <w:pPr>
        <w:rPr>
          <w:rFonts w:cs="Arial"/>
          <w:sz w:val="22"/>
          <w:szCs w:val="22"/>
        </w:rPr>
      </w:pPr>
    </w:p>
    <w:p w:rsidR="00CB6B0A" w:rsidRPr="0043462B" w:rsidRDefault="00CB6B0A" w:rsidP="00CB6B0A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CB6B0A" w:rsidRPr="00EB538A" w:rsidRDefault="00CB6B0A" w:rsidP="00CB6B0A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4984"/>
      </w:tblGrid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Pr="004F4EE0" w:rsidRDefault="00CB6B0A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 xml:space="preserve">FY1  Acute Medicine/Stroke    </w:t>
            </w:r>
            <w:r>
              <w:rPr>
                <w:rFonts w:cs="Arial"/>
                <w:sz w:val="22"/>
                <w:szCs w:val="22"/>
              </w:rPr>
              <w:t>-</w:t>
            </w:r>
            <w:r w:rsidRPr="00510DC7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t>Four</w:t>
            </w:r>
            <w:r w:rsidRPr="00510DC7">
              <w:rPr>
                <w:rFonts w:cs="Arial"/>
                <w:sz w:val="22"/>
                <w:szCs w:val="22"/>
              </w:rPr>
              <w:t xml:space="preserve"> Posts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>The post is ward based and involves day time shifts only.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Default="00CB6B0A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CB6B0A" w:rsidRPr="00510DC7" w:rsidRDefault="00CB6B0A" w:rsidP="0069317B">
            <w:pPr>
              <w:spacing w:after="120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 xml:space="preserve">The AAU has </w:t>
            </w:r>
            <w:r>
              <w:rPr>
                <w:rFonts w:cs="Arial"/>
                <w:sz w:val="22"/>
                <w:szCs w:val="22"/>
              </w:rPr>
              <w:t>three</w:t>
            </w:r>
            <w:r w:rsidRPr="00510DC7">
              <w:rPr>
                <w:rFonts w:cs="Arial"/>
                <w:sz w:val="22"/>
                <w:szCs w:val="22"/>
              </w:rPr>
              <w:t xml:space="preserve"> Consultants and there are </w:t>
            </w:r>
            <w:r>
              <w:rPr>
                <w:rFonts w:cs="Arial"/>
                <w:sz w:val="22"/>
                <w:szCs w:val="22"/>
              </w:rPr>
              <w:t>two</w:t>
            </w:r>
            <w:r w:rsidRPr="00510DC7">
              <w:rPr>
                <w:rFonts w:cs="Arial"/>
                <w:sz w:val="22"/>
                <w:szCs w:val="22"/>
              </w:rPr>
              <w:t xml:space="preserve"> Stroke Consultants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10DC7">
              <w:rPr>
                <w:rFonts w:cs="Arial"/>
                <w:sz w:val="22"/>
                <w:szCs w:val="22"/>
              </w:rPr>
              <w:t>(Stroke Unit)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CB6B0A" w:rsidRPr="00510DC7" w:rsidRDefault="00CB6B0A" w:rsidP="0069317B">
            <w:pPr>
              <w:spacing w:after="120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>The AAU is generally busy, with 35 to 40 assessments in 24 Hrs. There is Consultant presence – 08.30 to 20.00 week days, and a covering General Physician at weekends – 08.30 to 16.00. The AAU is staffed by a daytime team on shift work of 2 FY1s, 3 SHOs (CMT/FY2) and a Registrar from a Medical firm. The FY1 will be expected to cover either the AAU or Stroke Unit. The AAU is staffed by a separate night-time team.</w:t>
            </w:r>
          </w:p>
          <w:p w:rsidR="00CB6B0A" w:rsidRPr="00510DC7" w:rsidRDefault="00CB6B0A" w:rsidP="0069317B">
            <w:pPr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 xml:space="preserve">The FY1 Stroke Unit will work with a Consultant in Stroke Medicine, </w:t>
            </w:r>
            <w:proofErr w:type="spellStart"/>
            <w:r w:rsidRPr="00510DC7">
              <w:rPr>
                <w:rFonts w:cs="Arial"/>
                <w:sz w:val="22"/>
                <w:szCs w:val="22"/>
              </w:rPr>
              <w:t>SpR</w:t>
            </w:r>
            <w:proofErr w:type="spellEnd"/>
            <w:r w:rsidRPr="00510DC7">
              <w:rPr>
                <w:rFonts w:cs="Arial"/>
                <w:sz w:val="22"/>
                <w:szCs w:val="22"/>
              </w:rPr>
              <w:t xml:space="preserve"> or Specialist Trust Doctor. 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Pr="00047073" w:rsidRDefault="00CB6B0A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CB6B0A" w:rsidRDefault="00CB6B0A" w:rsidP="0069317B">
            <w:pPr>
              <w:spacing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 FY1 (AAU) is rostered to do PTWR in the morning</w:t>
            </w:r>
            <w:r w:rsidRPr="00A6537D">
              <w:rPr>
                <w:rFonts w:cs="Arial"/>
                <w:sz w:val="22"/>
                <w:szCs w:val="22"/>
              </w:rPr>
              <w:t xml:space="preserve"> or be on-ca</w:t>
            </w:r>
            <w:r>
              <w:rPr>
                <w:rFonts w:cs="Arial"/>
                <w:sz w:val="22"/>
                <w:szCs w:val="22"/>
              </w:rPr>
              <w:t xml:space="preserve">ll with the team. He or she will </w:t>
            </w:r>
            <w:r w:rsidRPr="00A6537D">
              <w:rPr>
                <w:rFonts w:cs="Arial"/>
                <w:sz w:val="22"/>
                <w:szCs w:val="22"/>
              </w:rPr>
              <w:t xml:space="preserve">participate in handover 08.30. </w:t>
            </w:r>
          </w:p>
          <w:p w:rsidR="00CB6B0A" w:rsidRDefault="00CB6B0A" w:rsidP="0069317B">
            <w:pPr>
              <w:spacing w:after="120"/>
              <w:rPr>
                <w:rFonts w:cs="Arial"/>
              </w:rPr>
            </w:pPr>
            <w:r w:rsidRPr="00A6537D">
              <w:rPr>
                <w:rFonts w:cs="Arial"/>
                <w:sz w:val="22"/>
                <w:szCs w:val="22"/>
              </w:rPr>
              <w:t>The FY1 will be supervised at all times and will be involved in the assessment and care of acute patients, with decision making relat</w:t>
            </w:r>
            <w:r>
              <w:rPr>
                <w:rFonts w:cs="Arial"/>
                <w:sz w:val="22"/>
                <w:szCs w:val="22"/>
              </w:rPr>
              <w:t xml:space="preserve">ed to admission/discharge. </w:t>
            </w:r>
            <w:r w:rsidRPr="00A6537D">
              <w:rPr>
                <w:rFonts w:cs="Arial"/>
                <w:sz w:val="22"/>
                <w:szCs w:val="22"/>
              </w:rPr>
              <w:t xml:space="preserve">The full range of knowledge and competencies for the Foundation curriculum may be covered. There are ample opportunities for </w:t>
            </w:r>
            <w:r>
              <w:rPr>
                <w:rFonts w:cs="Arial"/>
                <w:sz w:val="22"/>
                <w:szCs w:val="22"/>
              </w:rPr>
              <w:t>the</w:t>
            </w:r>
            <w:r w:rsidRPr="00A6537D">
              <w:rPr>
                <w:rFonts w:cs="Arial"/>
                <w:sz w:val="22"/>
                <w:szCs w:val="22"/>
              </w:rPr>
              <w:t xml:space="preserve"> learning of </w:t>
            </w:r>
            <w:r>
              <w:rPr>
                <w:rFonts w:cs="Arial"/>
                <w:sz w:val="22"/>
                <w:szCs w:val="22"/>
              </w:rPr>
              <w:t xml:space="preserve">emergency procedures, including </w:t>
            </w:r>
            <w:proofErr w:type="spellStart"/>
            <w:r w:rsidRPr="00A6537D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scit</w:t>
            </w:r>
            <w:r w:rsidRPr="00A6537D">
              <w:rPr>
                <w:rFonts w:cs="Arial"/>
                <w:sz w:val="22"/>
                <w:szCs w:val="22"/>
              </w:rPr>
              <w:t>ic</w:t>
            </w:r>
            <w:proofErr w:type="spellEnd"/>
            <w:r w:rsidRPr="00A6537D">
              <w:rPr>
                <w:rFonts w:cs="Arial"/>
                <w:sz w:val="22"/>
                <w:szCs w:val="22"/>
              </w:rPr>
              <w:t xml:space="preserve"> drainage, pleural aspiration or drainage and</w:t>
            </w:r>
            <w:r>
              <w:rPr>
                <w:rFonts w:cs="Arial"/>
                <w:sz w:val="22"/>
                <w:szCs w:val="22"/>
              </w:rPr>
              <w:t xml:space="preserve"> performing an LP.</w:t>
            </w:r>
          </w:p>
          <w:p w:rsidR="00CB6B0A" w:rsidRDefault="00CB6B0A" w:rsidP="0069317B">
            <w:pPr>
              <w:spacing w:after="120"/>
              <w:rPr>
                <w:rFonts w:cs="Arial"/>
                <w:sz w:val="22"/>
                <w:szCs w:val="22"/>
              </w:rPr>
            </w:pPr>
            <w:r w:rsidRPr="00A6537D">
              <w:rPr>
                <w:rFonts w:cs="Arial"/>
                <w:sz w:val="22"/>
                <w:szCs w:val="22"/>
              </w:rPr>
              <w:t>The FY1 is involv</w:t>
            </w:r>
            <w:r>
              <w:rPr>
                <w:rFonts w:cs="Arial"/>
                <w:sz w:val="22"/>
                <w:szCs w:val="22"/>
              </w:rPr>
              <w:t>ed in prescribing antibiotics, Opiates, Heparin and W</w:t>
            </w:r>
            <w:r w:rsidRPr="00A6537D">
              <w:rPr>
                <w:rFonts w:cs="Arial"/>
                <w:sz w:val="22"/>
                <w:szCs w:val="22"/>
              </w:rPr>
              <w:t>arfarin.</w:t>
            </w:r>
            <w:r w:rsidRPr="00F76B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There are opportunities to present patients and do Work Based Assessments as well as having Feedback.</w:t>
            </w:r>
            <w:r w:rsidRPr="00F76B82">
              <w:rPr>
                <w:rFonts w:cs="Arial"/>
                <w:sz w:val="22"/>
                <w:szCs w:val="22"/>
              </w:rPr>
              <w:t xml:space="preserve"> </w:t>
            </w:r>
          </w:p>
          <w:p w:rsidR="00CB6B0A" w:rsidRPr="00214147" w:rsidRDefault="00CB6B0A" w:rsidP="0069317B">
            <w:pPr>
              <w:spacing w:after="120"/>
              <w:rPr>
                <w:rFonts w:cs="Arial"/>
              </w:rPr>
            </w:pPr>
            <w:bookmarkStart w:id="0" w:name="_GoBack"/>
            <w:bookmarkEnd w:id="0"/>
            <w:r w:rsidRPr="00214147">
              <w:rPr>
                <w:rFonts w:cs="Arial"/>
                <w:sz w:val="22"/>
                <w:szCs w:val="22"/>
              </w:rPr>
              <w:lastRenderedPageBreak/>
              <w:t>The FY1 will learn</w:t>
            </w:r>
            <w:r>
              <w:rPr>
                <w:rFonts w:cs="Arial"/>
                <w:sz w:val="22"/>
                <w:szCs w:val="22"/>
              </w:rPr>
              <w:t xml:space="preserve"> to perform c</w:t>
            </w:r>
            <w:r w:rsidRPr="00214147">
              <w:rPr>
                <w:rFonts w:cs="Arial"/>
                <w:sz w:val="22"/>
                <w:szCs w:val="22"/>
              </w:rPr>
              <w:t>ore procedures.</w:t>
            </w:r>
          </w:p>
          <w:p w:rsidR="00CB6B0A" w:rsidRDefault="00CB6B0A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Stroke Unit</w:t>
            </w:r>
          </w:p>
          <w:p w:rsidR="00CB6B0A" w:rsidRDefault="00CB6B0A" w:rsidP="0069317B">
            <w:pPr>
              <w:spacing w:after="120"/>
              <w:rPr>
                <w:rFonts w:cs="Arial"/>
              </w:rPr>
            </w:pPr>
            <w:r w:rsidRPr="00A6537D">
              <w:rPr>
                <w:rFonts w:cs="Arial"/>
                <w:sz w:val="22"/>
                <w:szCs w:val="22"/>
              </w:rPr>
              <w:t>There is a daily ward round and opportunities to be involved in acute stroke assessment and care, together with thrombolysis</w:t>
            </w:r>
            <w:r>
              <w:rPr>
                <w:rFonts w:cs="Arial"/>
                <w:sz w:val="22"/>
                <w:szCs w:val="22"/>
              </w:rPr>
              <w:t>.</w:t>
            </w:r>
            <w:r w:rsidRPr="00A6537D">
              <w:rPr>
                <w:rFonts w:cs="Arial"/>
                <w:sz w:val="22"/>
                <w:szCs w:val="22"/>
              </w:rPr>
              <w:t xml:space="preserve"> </w:t>
            </w:r>
          </w:p>
          <w:p w:rsidR="00CB6B0A" w:rsidRDefault="00CB6B0A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 xml:space="preserve">Learning will correspond to bedside experience, as well as </w:t>
            </w:r>
            <w:r>
              <w:rPr>
                <w:rFonts w:cs="Arial"/>
                <w:sz w:val="22"/>
                <w:szCs w:val="22"/>
              </w:rPr>
              <w:t xml:space="preserve"> from </w:t>
            </w:r>
            <w:r w:rsidRPr="00214147">
              <w:rPr>
                <w:rFonts w:cs="Arial"/>
                <w:sz w:val="22"/>
                <w:szCs w:val="22"/>
              </w:rPr>
              <w:t>Trust and other ma</w:t>
            </w:r>
            <w:r>
              <w:rPr>
                <w:rFonts w:cs="Arial"/>
                <w:sz w:val="22"/>
                <w:szCs w:val="22"/>
              </w:rPr>
              <w:t xml:space="preserve">ndatory training and </w:t>
            </w:r>
            <w:r w:rsidRPr="00214147">
              <w:rPr>
                <w:rFonts w:cs="Arial"/>
                <w:sz w:val="22"/>
                <w:szCs w:val="22"/>
              </w:rPr>
              <w:t>attendance at</w:t>
            </w:r>
            <w:r>
              <w:rPr>
                <w:rFonts w:cs="Arial"/>
                <w:sz w:val="22"/>
                <w:szCs w:val="22"/>
              </w:rPr>
              <w:t xml:space="preserve"> the</w:t>
            </w:r>
            <w:r w:rsidRPr="00214147">
              <w:rPr>
                <w:rFonts w:cs="Arial"/>
                <w:sz w:val="22"/>
                <w:szCs w:val="22"/>
              </w:rPr>
              <w:t xml:space="preserve"> Foundation core course</w:t>
            </w:r>
            <w:r>
              <w:rPr>
                <w:rFonts w:cs="Arial"/>
                <w:sz w:val="22"/>
                <w:szCs w:val="22"/>
              </w:rPr>
              <w:t xml:space="preserve"> (Bleep free).The FY1 Doctor will learn to:</w:t>
            </w:r>
            <w:r>
              <w:rPr>
                <w:rFonts w:cs="Arial"/>
              </w:rPr>
              <w:t xml:space="preserve"> </w:t>
            </w:r>
          </w:p>
          <w:p w:rsidR="00CB6B0A" w:rsidRPr="00A3121C" w:rsidRDefault="00CB6B0A" w:rsidP="00CB6B0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29" w:hanging="429"/>
              <w:rPr>
                <w:rFonts w:ascii="Arial" w:hAnsi="Arial" w:cs="Arial"/>
              </w:rPr>
            </w:pPr>
            <w:r w:rsidRPr="00A3121C">
              <w:rPr>
                <w:rFonts w:ascii="Arial" w:hAnsi="Arial" w:cs="Arial"/>
              </w:rPr>
              <w:t xml:space="preserve">Manage time and clinical priorities effectively.     </w:t>
            </w:r>
          </w:p>
          <w:p w:rsidR="00CB6B0A" w:rsidRPr="00F76B82" w:rsidRDefault="00CB6B0A" w:rsidP="00CB6B0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29" w:hanging="429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Communicate effectively with patients and staff.</w:t>
            </w:r>
          </w:p>
          <w:p w:rsidR="00CB6B0A" w:rsidRPr="00F76B82" w:rsidRDefault="00CB6B0A" w:rsidP="00CB6B0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29" w:hanging="4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Evidence-based Guidelines and be involved in</w:t>
            </w:r>
            <w:r w:rsidRPr="00F76B82">
              <w:rPr>
                <w:rFonts w:ascii="Arial" w:hAnsi="Arial" w:cs="Arial"/>
              </w:rPr>
              <w:t xml:space="preserve"> audit.</w:t>
            </w:r>
          </w:p>
          <w:p w:rsidR="00CB6B0A" w:rsidRPr="00F76B82" w:rsidRDefault="00CB6B0A" w:rsidP="00CB6B0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29" w:hanging="429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Cope with ethical and legal issues.</w:t>
            </w:r>
          </w:p>
          <w:p w:rsidR="00CB6B0A" w:rsidRPr="000B0798" w:rsidRDefault="00CB6B0A" w:rsidP="00CB6B0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9" w:hanging="429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Prescribe safely.</w:t>
            </w:r>
          </w:p>
          <w:p w:rsidR="00CB6B0A" w:rsidRDefault="00CB6B0A" w:rsidP="0069317B">
            <w:pPr>
              <w:ind w:left="720"/>
              <w:jc w:val="both"/>
              <w:rPr>
                <w:rFonts w:cs="Arial"/>
                <w:b/>
              </w:rPr>
            </w:pPr>
          </w:p>
        </w:tc>
      </w:tr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Pr="004F4EE0" w:rsidRDefault="00CB6B0A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>Bedford Hospital AAU or Victoria Stroke Unit.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Default="00CB6B0A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 xml:space="preserve">Dr R Kumar, Dr Sunil </w:t>
            </w:r>
            <w:proofErr w:type="spellStart"/>
            <w:r w:rsidRPr="00510DC7">
              <w:rPr>
                <w:rFonts w:cs="Arial"/>
                <w:sz w:val="22"/>
                <w:szCs w:val="22"/>
              </w:rPr>
              <w:t>Krishnankutty</w:t>
            </w:r>
            <w:proofErr w:type="spellEnd"/>
            <w:r w:rsidRPr="00510DC7">
              <w:rPr>
                <w:rFonts w:cs="Arial"/>
                <w:sz w:val="22"/>
                <w:szCs w:val="22"/>
              </w:rPr>
              <w:t xml:space="preserve"> (AAU) and Dr </w:t>
            </w:r>
            <w:proofErr w:type="spellStart"/>
            <w:r w:rsidRPr="00510DC7">
              <w:rPr>
                <w:rFonts w:cs="Arial"/>
                <w:sz w:val="22"/>
                <w:szCs w:val="22"/>
              </w:rPr>
              <w:t>Elmarimi</w:t>
            </w:r>
            <w:proofErr w:type="spellEnd"/>
            <w:r w:rsidRPr="00510DC7">
              <w:rPr>
                <w:rFonts w:cs="Arial"/>
                <w:sz w:val="22"/>
                <w:szCs w:val="22"/>
              </w:rPr>
              <w:t xml:space="preserve"> (Stroke).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Default="00CB6B0A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CB6B0A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>The FY1 is expected to deliver the medical care for the patients that they are responsible for and carry out all appropriate documentation. There will be a share of Discharge letters, DTOs as well as VTE assessments etc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B6B0A" w:rsidRPr="004F4EE0" w:rsidTr="0069317B">
        <w:trPr>
          <w:trHeight w:val="144"/>
        </w:trPr>
        <w:tc>
          <w:tcPr>
            <w:tcW w:w="3540" w:type="dxa"/>
          </w:tcPr>
          <w:p w:rsidR="00CB6B0A" w:rsidRDefault="00CB6B0A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CB6B0A" w:rsidRPr="00510DC7" w:rsidRDefault="00CB6B0A" w:rsidP="0069317B">
            <w:pPr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 xml:space="preserve">08.30 </w:t>
            </w:r>
            <w:r>
              <w:rPr>
                <w:rFonts w:cs="Arial"/>
                <w:sz w:val="22"/>
                <w:szCs w:val="22"/>
              </w:rPr>
              <w:t>to 17.3</w:t>
            </w:r>
            <w:r w:rsidRPr="00510DC7">
              <w:rPr>
                <w:rFonts w:cs="Arial"/>
                <w:sz w:val="22"/>
                <w:szCs w:val="22"/>
              </w:rPr>
              <w:t xml:space="preserve">0 week days. </w:t>
            </w:r>
          </w:p>
          <w:p w:rsidR="00CB6B0A" w:rsidRDefault="00CB6B0A" w:rsidP="0069317B">
            <w:pPr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 xml:space="preserve">09.00 to 21.00. </w:t>
            </w:r>
            <w:r>
              <w:rPr>
                <w:rFonts w:cs="Arial"/>
                <w:sz w:val="22"/>
                <w:szCs w:val="22"/>
              </w:rPr>
              <w:t>weekends</w:t>
            </w:r>
          </w:p>
          <w:p w:rsidR="00CB6B0A" w:rsidRDefault="00CB6B0A" w:rsidP="0069317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EWTD Compliant</w:t>
            </w:r>
          </w:p>
          <w:p w:rsidR="00CB6B0A" w:rsidRPr="00510DC7" w:rsidRDefault="00CB6B0A" w:rsidP="0069317B">
            <w:pPr>
              <w:rPr>
                <w:rFonts w:cs="Arial"/>
                <w:sz w:val="22"/>
                <w:szCs w:val="22"/>
              </w:rPr>
            </w:pPr>
          </w:p>
        </w:tc>
      </w:tr>
      <w:tr w:rsidR="00CB6B0A" w:rsidRPr="004F4EE0" w:rsidTr="0069317B">
        <w:trPr>
          <w:trHeight w:val="288"/>
        </w:trPr>
        <w:tc>
          <w:tcPr>
            <w:tcW w:w="3540" w:type="dxa"/>
          </w:tcPr>
          <w:p w:rsidR="00CB6B0A" w:rsidRPr="00C70B03" w:rsidRDefault="00CB6B0A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CB6B0A" w:rsidRPr="00510DC7" w:rsidRDefault="00CB6B0A" w:rsidP="0069317B">
            <w:pPr>
              <w:pStyle w:val="BodyText"/>
              <w:rPr>
                <w:rFonts w:ascii="Arial" w:hAnsi="Arial" w:cs="Arial"/>
                <w:szCs w:val="22"/>
              </w:rPr>
            </w:pPr>
            <w:r w:rsidRPr="00510DC7">
              <w:rPr>
                <w:rFonts w:ascii="Arial" w:hAnsi="Arial" w:cs="Arial"/>
                <w:szCs w:val="22"/>
              </w:rPr>
              <w:t>The employer for this post is Bedford Hospital NHS Trust.</w:t>
            </w:r>
          </w:p>
          <w:p w:rsidR="00CB6B0A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510DC7">
              <w:rPr>
                <w:rFonts w:cs="Arial"/>
                <w:sz w:val="22"/>
                <w:szCs w:val="22"/>
              </w:rPr>
              <w:t>The Trust is a medium sized acute NHS Trust and provides an extensive range of secondary services for the growing local community of approximately 150,000.  A large proportion of the population is over 65 years old and about 30% are Italians.</w:t>
            </w:r>
          </w:p>
          <w:p w:rsidR="00CB6B0A" w:rsidRPr="00510DC7" w:rsidRDefault="00CB6B0A" w:rsidP="0069317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B6B0A" w:rsidRDefault="00CB6B0A" w:rsidP="00CB6B0A">
      <w:pPr>
        <w:rPr>
          <w:rFonts w:cs="Arial"/>
          <w:sz w:val="22"/>
          <w:szCs w:val="22"/>
        </w:rPr>
      </w:pPr>
    </w:p>
    <w:p w:rsidR="00CB6B0A" w:rsidRDefault="00CB6B0A" w:rsidP="00CB6B0A"/>
    <w:p w:rsidR="00DF21D4" w:rsidRPr="00CB6B0A" w:rsidRDefault="00DF21D4" w:rsidP="00CB6B0A"/>
    <w:sectPr w:rsidR="00DF21D4" w:rsidRPr="00CB6B0A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818F5"/>
    <w:multiLevelType w:val="hybridMultilevel"/>
    <w:tmpl w:val="560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137989"/>
    <w:multiLevelType w:val="hybridMultilevel"/>
    <w:tmpl w:val="78DE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8"/>
  </w:num>
  <w:num w:numId="15">
    <w:abstractNumId w:val="4"/>
  </w:num>
  <w:num w:numId="16">
    <w:abstractNumId w:val="3"/>
  </w:num>
  <w:num w:numId="17">
    <w:abstractNumId w:val="8"/>
  </w:num>
  <w:num w:numId="18">
    <w:abstractNumId w:val="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7063B"/>
    <w:rsid w:val="003520AB"/>
    <w:rsid w:val="00363F01"/>
    <w:rsid w:val="003963AC"/>
    <w:rsid w:val="004211D6"/>
    <w:rsid w:val="00472B89"/>
    <w:rsid w:val="00495A12"/>
    <w:rsid w:val="005966EF"/>
    <w:rsid w:val="005A692C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CB6B0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2016-09-22T10:24:00Z</dcterms:created>
  <dcterms:modified xsi:type="dcterms:W3CDTF">2016-09-22T10:24:00Z</dcterms:modified>
</cp:coreProperties>
</file>