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A35" w:rsidRDefault="00D36A35" w:rsidP="00D36A35">
      <w:pPr>
        <w:tabs>
          <w:tab w:val="center" w:pos="5040"/>
          <w:tab w:val="right" w:pos="9900"/>
        </w:tabs>
      </w:pPr>
      <w:r>
        <w:t xml:space="preserve"> </w:t>
      </w:r>
      <w:r>
        <w:tab/>
      </w:r>
      <w:r>
        <w:tab/>
      </w:r>
    </w:p>
    <w:p w:rsidR="00D36A35" w:rsidRDefault="00D36A35" w:rsidP="00D36A35">
      <w:pPr>
        <w:jc w:val="center"/>
        <w:rPr>
          <w:rFonts w:cs="Arial"/>
          <w:b/>
          <w:sz w:val="28"/>
          <w:szCs w:val="28"/>
        </w:rPr>
      </w:pPr>
    </w:p>
    <w:p w:rsidR="00D36A35" w:rsidRDefault="00D36A35" w:rsidP="00D36A35">
      <w:pPr>
        <w:jc w:val="center"/>
        <w:rPr>
          <w:rFonts w:cs="Arial"/>
          <w:b/>
          <w:sz w:val="28"/>
          <w:szCs w:val="28"/>
        </w:rPr>
      </w:pPr>
      <w:r>
        <w:rPr>
          <w:rFonts w:cs="Arial"/>
          <w:b/>
          <w:sz w:val="28"/>
          <w:szCs w:val="28"/>
        </w:rPr>
        <w:t>East Anglia Foundation School</w:t>
      </w:r>
    </w:p>
    <w:p w:rsidR="00D36A35" w:rsidRDefault="00D36A35" w:rsidP="00D36A35">
      <w:pPr>
        <w:jc w:val="center"/>
        <w:rPr>
          <w:rFonts w:cs="Arial"/>
          <w:b/>
          <w:sz w:val="28"/>
          <w:szCs w:val="28"/>
        </w:rPr>
      </w:pPr>
      <w:r>
        <w:rPr>
          <w:rFonts w:cs="Arial"/>
          <w:b/>
          <w:sz w:val="28"/>
          <w:szCs w:val="28"/>
        </w:rPr>
        <w:t xml:space="preserve">Individual Placement Description </w:t>
      </w:r>
    </w:p>
    <w:p w:rsidR="00D36A35" w:rsidRDefault="00D36A35" w:rsidP="00D36A35">
      <w:pPr>
        <w:jc w:val="center"/>
        <w:rPr>
          <w:rFonts w:cs="Arial"/>
          <w:b/>
          <w:sz w:val="28"/>
          <w:szCs w:val="28"/>
        </w:rPr>
      </w:pPr>
    </w:p>
    <w:p w:rsidR="00D36A35" w:rsidRDefault="00D36A35" w:rsidP="00D36A35">
      <w:pPr>
        <w:jc w:val="center"/>
        <w:rPr>
          <w:rFonts w:cs="Arial"/>
          <w:b/>
          <w:sz w:val="28"/>
          <w:szCs w:val="28"/>
        </w:rPr>
      </w:pPr>
      <w:r>
        <w:rPr>
          <w:rFonts w:cs="Arial"/>
          <w:b/>
          <w:sz w:val="28"/>
          <w:szCs w:val="28"/>
        </w:rPr>
        <w:t>Cambridge University Hospitals NHS Foundation Trust</w:t>
      </w:r>
    </w:p>
    <w:p w:rsidR="00D36A35" w:rsidRDefault="00D36A35" w:rsidP="00D36A35">
      <w:pPr>
        <w:rPr>
          <w:rFonts w:cs="Arial"/>
          <w:b/>
          <w:sz w:val="22"/>
          <w:szCs w:val="22"/>
        </w:rPr>
      </w:pPr>
    </w:p>
    <w:p w:rsidR="00D36A35" w:rsidRDefault="00D36A35" w:rsidP="00D36A35">
      <w:pPr>
        <w:rPr>
          <w:rFonts w:cs="Arial"/>
          <w:sz w:val="22"/>
          <w:szCs w:val="22"/>
        </w:rPr>
      </w:pPr>
      <w:proofErr w:type="gramStart"/>
      <w:r>
        <w:rPr>
          <w:rFonts w:cs="Arial"/>
          <w:sz w:val="22"/>
          <w:szCs w:val="22"/>
        </w:rPr>
        <w:t>All information to be completed by the Foundation School.</w:t>
      </w:r>
      <w:proofErr w:type="gramEnd"/>
    </w:p>
    <w:p w:rsidR="00D36A35" w:rsidRDefault="00D36A35" w:rsidP="00D36A35">
      <w:pPr>
        <w:rPr>
          <w:rFonts w:cs="Arial"/>
          <w:b/>
          <w:sz w:val="22"/>
          <w:szCs w:val="22"/>
        </w:rPr>
      </w:pPr>
    </w:p>
    <w:tbl>
      <w:tblPr>
        <w:tblW w:w="8028" w:type="dxa"/>
        <w:tblLook w:val="01E0" w:firstRow="1" w:lastRow="1" w:firstColumn="1" w:lastColumn="1" w:noHBand="0" w:noVBand="0"/>
      </w:tblPr>
      <w:tblGrid>
        <w:gridCol w:w="3851"/>
        <w:gridCol w:w="4177"/>
      </w:tblGrid>
      <w:tr w:rsidR="00D36A35" w:rsidTr="00D36A35">
        <w:trPr>
          <w:trHeight w:val="144"/>
        </w:trPr>
        <w:tc>
          <w:tcPr>
            <w:tcW w:w="3851" w:type="dxa"/>
            <w:hideMark/>
          </w:tcPr>
          <w:p w:rsidR="00D36A35" w:rsidRDefault="00D36A35">
            <w:pPr>
              <w:jc w:val="both"/>
              <w:rPr>
                <w:rFonts w:cs="Arial"/>
                <w:b/>
                <w:lang w:val="en-US" w:eastAsia="en-US"/>
              </w:rPr>
            </w:pPr>
            <w:r>
              <w:rPr>
                <w:rFonts w:cs="Arial"/>
                <w:b/>
                <w:sz w:val="22"/>
                <w:szCs w:val="22"/>
              </w:rPr>
              <w:t>Placement</w:t>
            </w:r>
          </w:p>
        </w:tc>
        <w:tc>
          <w:tcPr>
            <w:tcW w:w="4177" w:type="dxa"/>
          </w:tcPr>
          <w:p w:rsidR="00D36A35" w:rsidRDefault="00D36A35">
            <w:pPr>
              <w:jc w:val="both"/>
              <w:rPr>
                <w:rFonts w:cs="Arial"/>
                <w:lang w:val="en-US" w:eastAsia="en-US"/>
              </w:rPr>
            </w:pPr>
          </w:p>
          <w:p w:rsidR="00D36A35" w:rsidRDefault="00D36A35">
            <w:pPr>
              <w:jc w:val="both"/>
              <w:rPr>
                <w:rFonts w:cs="Arial"/>
                <w:lang w:val="en-US" w:eastAsia="en-US"/>
              </w:rPr>
            </w:pPr>
            <w:r>
              <w:rPr>
                <w:rFonts w:cs="Arial"/>
                <w:sz w:val="22"/>
                <w:szCs w:val="22"/>
              </w:rPr>
              <w:t>F1/F2 Neurosurgery.</w:t>
            </w:r>
          </w:p>
        </w:tc>
      </w:tr>
      <w:tr w:rsidR="00D36A35" w:rsidTr="00D36A35">
        <w:trPr>
          <w:trHeight w:val="144"/>
        </w:trPr>
        <w:tc>
          <w:tcPr>
            <w:tcW w:w="3851" w:type="dxa"/>
            <w:hideMark/>
          </w:tcPr>
          <w:p w:rsidR="00D36A35" w:rsidRDefault="00D36A35">
            <w:pPr>
              <w:rPr>
                <w:rFonts w:cs="Arial"/>
                <w:b/>
                <w:lang w:val="en-US" w:eastAsia="en-US"/>
              </w:rPr>
            </w:pPr>
            <w:r>
              <w:rPr>
                <w:rFonts w:cs="Arial"/>
                <w:b/>
                <w:sz w:val="22"/>
                <w:szCs w:val="22"/>
              </w:rPr>
              <w:t>The department</w:t>
            </w:r>
          </w:p>
        </w:tc>
        <w:tc>
          <w:tcPr>
            <w:tcW w:w="4177" w:type="dxa"/>
          </w:tcPr>
          <w:p w:rsidR="00D36A35" w:rsidRDefault="00D36A35">
            <w:pPr>
              <w:rPr>
                <w:rFonts w:cs="Arial"/>
                <w:lang w:val="en-US" w:eastAsia="en-US"/>
              </w:rPr>
            </w:pPr>
          </w:p>
          <w:p w:rsidR="00D36A35" w:rsidRDefault="00D36A35">
            <w:pPr>
              <w:rPr>
                <w:rFonts w:cs="Arial"/>
                <w:lang w:val="en-US" w:eastAsia="en-US"/>
              </w:rPr>
            </w:pPr>
            <w:r>
              <w:rPr>
                <w:rFonts w:cs="Arial"/>
                <w:sz w:val="22"/>
                <w:szCs w:val="22"/>
              </w:rPr>
              <w:t>This is a tertiary referral centre that deals with both adult and paediatric neurosurgery.  The department works closely with the neuro-intensivists and neuro-radiologists, and it also has thriving academic interests.</w:t>
            </w:r>
          </w:p>
        </w:tc>
      </w:tr>
      <w:tr w:rsidR="00D36A35" w:rsidTr="00D36A35">
        <w:trPr>
          <w:trHeight w:val="144"/>
        </w:trPr>
        <w:tc>
          <w:tcPr>
            <w:tcW w:w="3851" w:type="dxa"/>
            <w:hideMark/>
          </w:tcPr>
          <w:p w:rsidR="00D36A35" w:rsidRDefault="00D36A35">
            <w:pPr>
              <w:rPr>
                <w:rFonts w:cs="Arial"/>
                <w:b/>
                <w:lang w:val="en-US" w:eastAsia="en-US"/>
              </w:rPr>
            </w:pPr>
            <w:r>
              <w:rPr>
                <w:rFonts w:cs="Arial"/>
                <w:b/>
                <w:sz w:val="22"/>
                <w:szCs w:val="22"/>
              </w:rPr>
              <w:t>The type of work to expect and learning opportunities</w:t>
            </w:r>
          </w:p>
        </w:tc>
        <w:tc>
          <w:tcPr>
            <w:tcW w:w="4177" w:type="dxa"/>
            <w:hideMark/>
          </w:tcPr>
          <w:p w:rsidR="00D36A35" w:rsidRDefault="00D36A35">
            <w:pPr>
              <w:jc w:val="both"/>
              <w:rPr>
                <w:rFonts w:cs="Arial"/>
                <w:lang w:val="en-US" w:eastAsia="en-US"/>
              </w:rPr>
            </w:pPr>
            <w:r>
              <w:rPr>
                <w:rFonts w:cs="Arial"/>
                <w:sz w:val="22"/>
                <w:szCs w:val="22"/>
              </w:rPr>
              <w:t xml:space="preserve">This Neurosurgical job offers a wide-variety of training opportunities in a supportive and multidisciplinary team environment.  Shift patterns include normal daytime work, on-call, weekend, </w:t>
            </w:r>
            <w:proofErr w:type="spellStart"/>
            <w:r>
              <w:rPr>
                <w:rFonts w:cs="Arial"/>
                <w:sz w:val="22"/>
                <w:szCs w:val="22"/>
              </w:rPr>
              <w:t>neurointensive</w:t>
            </w:r>
            <w:proofErr w:type="spellEnd"/>
            <w:r>
              <w:rPr>
                <w:rFonts w:cs="Arial"/>
                <w:sz w:val="22"/>
                <w:szCs w:val="22"/>
              </w:rPr>
              <w:t xml:space="preserve"> care unit, and night shifts.  There will be several FY and ST1 doctors working together on the same rota to cover elective and emergency admissions, and plenty of opportunity to partake in procedures under supervision and with the appropriate training and competency, such as lumbar puncture, sampling of cerebrospinal fluid from external ventricular drains, removal of subdural drains, </w:t>
            </w:r>
            <w:proofErr w:type="gramStart"/>
            <w:r>
              <w:rPr>
                <w:rFonts w:cs="Arial"/>
                <w:sz w:val="22"/>
                <w:szCs w:val="22"/>
              </w:rPr>
              <w:t>administration</w:t>
            </w:r>
            <w:proofErr w:type="gramEnd"/>
            <w:r>
              <w:rPr>
                <w:rFonts w:cs="Arial"/>
                <w:sz w:val="22"/>
                <w:szCs w:val="22"/>
              </w:rPr>
              <w:t xml:space="preserve"> of intrathecal antibiotics and so on.  There may also be opportunities to assist in theatre, particularly during night shifts.</w:t>
            </w:r>
          </w:p>
          <w:p w:rsidR="00D36A35" w:rsidRDefault="00D36A35">
            <w:pPr>
              <w:jc w:val="both"/>
              <w:rPr>
                <w:rFonts w:cs="Arial"/>
              </w:rPr>
            </w:pPr>
            <w:r>
              <w:rPr>
                <w:rFonts w:cs="Arial"/>
                <w:sz w:val="22"/>
                <w:szCs w:val="22"/>
              </w:rPr>
              <w:t xml:space="preserve">The overall educational objectives of the FY years are to provide the trainee with the knowledge, skills and attitudes to be able to </w:t>
            </w:r>
          </w:p>
          <w:p w:rsidR="00D36A35" w:rsidRDefault="00D36A35" w:rsidP="00D36A35">
            <w:pPr>
              <w:numPr>
                <w:ilvl w:val="0"/>
                <w:numId w:val="17"/>
              </w:numPr>
              <w:jc w:val="both"/>
              <w:rPr>
                <w:rFonts w:cs="Arial"/>
              </w:rPr>
            </w:pPr>
            <w:r>
              <w:rPr>
                <w:rFonts w:cs="Arial"/>
                <w:sz w:val="22"/>
                <w:szCs w:val="22"/>
              </w:rPr>
              <w:t>Take a history and examine a patient</w:t>
            </w:r>
          </w:p>
          <w:p w:rsidR="00D36A35" w:rsidRDefault="00D36A35" w:rsidP="00D36A35">
            <w:pPr>
              <w:numPr>
                <w:ilvl w:val="0"/>
                <w:numId w:val="18"/>
              </w:numPr>
              <w:jc w:val="both"/>
              <w:rPr>
                <w:rFonts w:cs="Arial"/>
              </w:rPr>
            </w:pPr>
            <w:r>
              <w:rPr>
                <w:rFonts w:cs="Arial"/>
                <w:sz w:val="22"/>
                <w:szCs w:val="22"/>
              </w:rPr>
              <w:t>Identify and synthesise problems</w:t>
            </w:r>
          </w:p>
          <w:p w:rsidR="00D36A35" w:rsidRDefault="00D36A35" w:rsidP="00D36A35">
            <w:pPr>
              <w:numPr>
                <w:ilvl w:val="0"/>
                <w:numId w:val="18"/>
              </w:numPr>
              <w:jc w:val="both"/>
              <w:rPr>
                <w:rFonts w:cs="Arial"/>
              </w:rPr>
            </w:pPr>
            <w:r>
              <w:rPr>
                <w:rFonts w:cs="Arial"/>
                <w:sz w:val="22"/>
                <w:szCs w:val="22"/>
              </w:rPr>
              <w:t>Prescribe safely</w:t>
            </w:r>
          </w:p>
          <w:p w:rsidR="00D36A35" w:rsidRDefault="00D36A35" w:rsidP="00D36A35">
            <w:pPr>
              <w:numPr>
                <w:ilvl w:val="0"/>
                <w:numId w:val="18"/>
              </w:numPr>
              <w:jc w:val="both"/>
              <w:rPr>
                <w:rFonts w:cs="Arial"/>
              </w:rPr>
            </w:pPr>
            <w:r>
              <w:rPr>
                <w:rFonts w:cs="Arial"/>
                <w:sz w:val="22"/>
                <w:szCs w:val="22"/>
              </w:rPr>
              <w:t xml:space="preserve">Keep an accurate and relevant medical record </w:t>
            </w:r>
          </w:p>
          <w:p w:rsidR="00D36A35" w:rsidRPr="00803B90" w:rsidRDefault="00D36A35" w:rsidP="00D36A35">
            <w:pPr>
              <w:numPr>
                <w:ilvl w:val="0"/>
                <w:numId w:val="18"/>
              </w:numPr>
              <w:jc w:val="both"/>
              <w:rPr>
                <w:rFonts w:cs="Arial"/>
              </w:rPr>
            </w:pPr>
            <w:r>
              <w:rPr>
                <w:rFonts w:cs="Arial"/>
                <w:sz w:val="22"/>
                <w:szCs w:val="22"/>
              </w:rPr>
              <w:t>Manage time and clinical priorities effectively</w:t>
            </w:r>
          </w:p>
          <w:p w:rsidR="00803B90" w:rsidRDefault="00803B90" w:rsidP="00803B90">
            <w:pPr>
              <w:jc w:val="both"/>
              <w:rPr>
                <w:rFonts w:cs="Arial"/>
                <w:sz w:val="22"/>
                <w:szCs w:val="22"/>
              </w:rPr>
            </w:pPr>
          </w:p>
          <w:p w:rsidR="00803B90" w:rsidRDefault="00803B90" w:rsidP="00803B90">
            <w:pPr>
              <w:jc w:val="both"/>
              <w:rPr>
                <w:rFonts w:cs="Arial"/>
              </w:rPr>
            </w:pPr>
          </w:p>
          <w:p w:rsidR="00D36A35" w:rsidRDefault="00D36A35" w:rsidP="00D36A35">
            <w:pPr>
              <w:numPr>
                <w:ilvl w:val="0"/>
                <w:numId w:val="18"/>
              </w:numPr>
              <w:jc w:val="both"/>
              <w:rPr>
                <w:rFonts w:cs="Arial"/>
              </w:rPr>
            </w:pPr>
            <w:r>
              <w:rPr>
                <w:rFonts w:cs="Arial"/>
                <w:sz w:val="22"/>
                <w:szCs w:val="22"/>
              </w:rPr>
              <w:lastRenderedPageBreak/>
              <w:t>Communicate effectively with patients, relatives and colleagues</w:t>
            </w:r>
          </w:p>
          <w:p w:rsidR="00D36A35" w:rsidRDefault="00D36A35" w:rsidP="00D36A35">
            <w:pPr>
              <w:numPr>
                <w:ilvl w:val="0"/>
                <w:numId w:val="18"/>
              </w:numPr>
              <w:jc w:val="both"/>
              <w:rPr>
                <w:rFonts w:cs="Arial"/>
              </w:rPr>
            </w:pPr>
            <w:r>
              <w:rPr>
                <w:rFonts w:cs="Arial"/>
                <w:sz w:val="22"/>
                <w:szCs w:val="22"/>
              </w:rPr>
              <w:t>Use evidence, guidelines and audit to benefit patient care</w:t>
            </w:r>
          </w:p>
          <w:p w:rsidR="00D36A35" w:rsidRDefault="00D36A35" w:rsidP="00D36A35">
            <w:pPr>
              <w:numPr>
                <w:ilvl w:val="0"/>
                <w:numId w:val="18"/>
              </w:numPr>
              <w:jc w:val="both"/>
              <w:rPr>
                <w:rFonts w:cs="Arial"/>
              </w:rPr>
            </w:pPr>
            <w:r>
              <w:rPr>
                <w:rFonts w:cs="Arial"/>
                <w:sz w:val="22"/>
                <w:szCs w:val="22"/>
              </w:rPr>
              <w:t>Act in a professional manner at all times</w:t>
            </w:r>
          </w:p>
          <w:p w:rsidR="00D36A35" w:rsidRDefault="00D36A35" w:rsidP="00D36A35">
            <w:pPr>
              <w:numPr>
                <w:ilvl w:val="0"/>
                <w:numId w:val="18"/>
              </w:numPr>
              <w:jc w:val="both"/>
              <w:rPr>
                <w:rFonts w:cs="Arial"/>
              </w:rPr>
            </w:pPr>
            <w:r>
              <w:rPr>
                <w:rFonts w:cs="Arial"/>
                <w:sz w:val="22"/>
                <w:szCs w:val="22"/>
              </w:rPr>
              <w:t>Cope with ethical and legal issues which occur during the management of patients with general medical problems</w:t>
            </w:r>
          </w:p>
          <w:p w:rsidR="00D36A35" w:rsidRDefault="00D36A35" w:rsidP="00D36A35">
            <w:pPr>
              <w:numPr>
                <w:ilvl w:val="0"/>
                <w:numId w:val="18"/>
              </w:numPr>
              <w:jc w:val="both"/>
              <w:rPr>
                <w:rFonts w:cs="Arial"/>
              </w:rPr>
            </w:pPr>
            <w:r>
              <w:rPr>
                <w:rFonts w:cs="Arial"/>
                <w:sz w:val="22"/>
                <w:szCs w:val="22"/>
              </w:rPr>
              <w:t>Educate patients effectively</w:t>
            </w:r>
          </w:p>
          <w:p w:rsidR="00D36A35" w:rsidRDefault="00D36A35" w:rsidP="00D36A35">
            <w:pPr>
              <w:numPr>
                <w:ilvl w:val="0"/>
                <w:numId w:val="18"/>
              </w:numPr>
              <w:rPr>
                <w:rFonts w:cs="Arial"/>
                <w:lang w:val="en-US" w:eastAsia="en-US"/>
              </w:rPr>
            </w:pPr>
            <w:r>
              <w:rPr>
                <w:rFonts w:cs="Arial"/>
                <w:sz w:val="22"/>
                <w:szCs w:val="22"/>
              </w:rPr>
              <w:t>Become life-long learners and teachers.</w:t>
            </w:r>
          </w:p>
        </w:tc>
      </w:tr>
      <w:tr w:rsidR="00D36A35" w:rsidTr="00D36A35">
        <w:trPr>
          <w:trHeight w:val="144"/>
        </w:trPr>
        <w:tc>
          <w:tcPr>
            <w:tcW w:w="3851" w:type="dxa"/>
            <w:hideMark/>
          </w:tcPr>
          <w:p w:rsidR="00D36A35" w:rsidRDefault="00D36A35">
            <w:pPr>
              <w:jc w:val="both"/>
              <w:rPr>
                <w:rFonts w:cs="Arial"/>
                <w:b/>
                <w:lang w:val="en-US" w:eastAsia="en-US"/>
              </w:rPr>
            </w:pPr>
            <w:r>
              <w:rPr>
                <w:rFonts w:cs="Arial"/>
                <w:b/>
                <w:sz w:val="22"/>
                <w:szCs w:val="22"/>
              </w:rPr>
              <w:lastRenderedPageBreak/>
              <w:t>Where the placement is based</w:t>
            </w:r>
          </w:p>
        </w:tc>
        <w:tc>
          <w:tcPr>
            <w:tcW w:w="4177" w:type="dxa"/>
          </w:tcPr>
          <w:p w:rsidR="00D36A35" w:rsidRDefault="00D36A35">
            <w:pPr>
              <w:jc w:val="both"/>
              <w:rPr>
                <w:rFonts w:cs="Arial"/>
                <w:lang w:val="en-US" w:eastAsia="en-US"/>
              </w:rPr>
            </w:pPr>
          </w:p>
          <w:p w:rsidR="00D36A35" w:rsidRDefault="00D36A35">
            <w:pPr>
              <w:jc w:val="both"/>
              <w:rPr>
                <w:rFonts w:cs="Arial"/>
                <w:lang w:val="en-US" w:eastAsia="en-US"/>
              </w:rPr>
            </w:pPr>
            <w:proofErr w:type="spellStart"/>
            <w:r>
              <w:rPr>
                <w:rFonts w:cs="Arial"/>
              </w:rPr>
              <w:t>Addenbrooke’s</w:t>
            </w:r>
            <w:proofErr w:type="spellEnd"/>
            <w:r>
              <w:rPr>
                <w:rFonts w:cs="Arial"/>
              </w:rPr>
              <w:t xml:space="preserve"> hospital (core neurosurgical wards: A3, A4, A5 and D6 + paediatrics)</w:t>
            </w:r>
          </w:p>
        </w:tc>
      </w:tr>
      <w:tr w:rsidR="00D36A35" w:rsidTr="00D36A35">
        <w:trPr>
          <w:trHeight w:val="144"/>
        </w:trPr>
        <w:tc>
          <w:tcPr>
            <w:tcW w:w="3851" w:type="dxa"/>
            <w:hideMark/>
          </w:tcPr>
          <w:p w:rsidR="00D36A35" w:rsidRDefault="00D36A35">
            <w:pPr>
              <w:jc w:val="both"/>
              <w:rPr>
                <w:rFonts w:cs="Arial"/>
                <w:b/>
                <w:lang w:val="en-US" w:eastAsia="en-US"/>
              </w:rPr>
            </w:pPr>
            <w:r>
              <w:rPr>
                <w:rFonts w:cs="Arial"/>
                <w:b/>
                <w:sz w:val="22"/>
                <w:szCs w:val="22"/>
              </w:rPr>
              <w:t>Clinical Supervisor(s) for the placement</w:t>
            </w:r>
          </w:p>
        </w:tc>
        <w:tc>
          <w:tcPr>
            <w:tcW w:w="4177" w:type="dxa"/>
          </w:tcPr>
          <w:p w:rsidR="00D36A35" w:rsidRDefault="00D36A35">
            <w:pPr>
              <w:jc w:val="both"/>
              <w:rPr>
                <w:rFonts w:cs="Arial"/>
                <w:lang w:val="en-US" w:eastAsia="en-US"/>
              </w:rPr>
            </w:pPr>
            <w:r>
              <w:rPr>
                <w:rFonts w:cs="Arial"/>
                <w:sz w:val="22"/>
                <w:szCs w:val="22"/>
              </w:rPr>
              <w:t>Mr Matthew Garnett</w:t>
            </w:r>
          </w:p>
          <w:p w:rsidR="00D36A35" w:rsidRDefault="00D36A35">
            <w:pPr>
              <w:jc w:val="both"/>
              <w:rPr>
                <w:rFonts w:cs="Arial"/>
                <w:lang w:val="en-US" w:eastAsia="en-US"/>
              </w:rPr>
            </w:pPr>
          </w:p>
        </w:tc>
      </w:tr>
      <w:tr w:rsidR="00D36A35" w:rsidTr="00D36A35">
        <w:trPr>
          <w:trHeight w:val="144"/>
        </w:trPr>
        <w:tc>
          <w:tcPr>
            <w:tcW w:w="3851" w:type="dxa"/>
            <w:hideMark/>
          </w:tcPr>
          <w:p w:rsidR="00D36A35" w:rsidRDefault="00D36A35">
            <w:pPr>
              <w:rPr>
                <w:rFonts w:cs="Arial"/>
                <w:b/>
                <w:lang w:val="en-US" w:eastAsia="en-US"/>
              </w:rPr>
            </w:pPr>
            <w:r>
              <w:rPr>
                <w:rFonts w:cs="Arial"/>
                <w:b/>
                <w:sz w:val="22"/>
                <w:szCs w:val="22"/>
              </w:rPr>
              <w:t>Main duties of the placement</w:t>
            </w:r>
          </w:p>
        </w:tc>
        <w:tc>
          <w:tcPr>
            <w:tcW w:w="4177" w:type="dxa"/>
          </w:tcPr>
          <w:p w:rsidR="00D36A35" w:rsidRDefault="00D36A35">
            <w:pPr>
              <w:jc w:val="both"/>
              <w:rPr>
                <w:rFonts w:cs="Arial"/>
                <w:lang w:val="en-US" w:eastAsia="en-US"/>
              </w:rPr>
            </w:pPr>
            <w:r>
              <w:rPr>
                <w:rFonts w:cs="Arial"/>
                <w:sz w:val="22"/>
                <w:szCs w:val="22"/>
              </w:rPr>
              <w:t>The FY doctor is responsible with other staff for the ward and emergency care of patients and the maintenance of the patient’s medical record.  The doctor will be responsible for other specific clinical duties as allocated by consultants and specialist registrars including performing other duties in occasional emergencies and unforeseen circumstances.</w:t>
            </w:r>
          </w:p>
          <w:p w:rsidR="00D36A35" w:rsidRDefault="00D36A35">
            <w:pPr>
              <w:jc w:val="both"/>
              <w:rPr>
                <w:rFonts w:cs="Arial"/>
                <w:lang w:val="en-US" w:eastAsia="en-US"/>
              </w:rPr>
            </w:pPr>
          </w:p>
        </w:tc>
      </w:tr>
      <w:tr w:rsidR="00D36A35" w:rsidTr="00D36A35">
        <w:trPr>
          <w:trHeight w:val="144"/>
        </w:trPr>
        <w:tc>
          <w:tcPr>
            <w:tcW w:w="3851" w:type="dxa"/>
            <w:hideMark/>
          </w:tcPr>
          <w:p w:rsidR="00D36A35" w:rsidRDefault="00D36A35">
            <w:pPr>
              <w:jc w:val="both"/>
              <w:rPr>
                <w:rFonts w:cs="Arial"/>
                <w:b/>
                <w:lang w:val="en-US" w:eastAsia="en-US"/>
              </w:rPr>
            </w:pPr>
            <w:r>
              <w:rPr>
                <w:rFonts w:cs="Arial"/>
                <w:b/>
                <w:sz w:val="22"/>
                <w:szCs w:val="22"/>
              </w:rPr>
              <w:t>Typical working pattern in this placement</w:t>
            </w:r>
          </w:p>
        </w:tc>
        <w:tc>
          <w:tcPr>
            <w:tcW w:w="4177" w:type="dxa"/>
          </w:tcPr>
          <w:p w:rsidR="00D36A35" w:rsidRDefault="00D36A35">
            <w:pPr>
              <w:rPr>
                <w:rFonts w:cs="Arial"/>
                <w:lang w:val="en-US" w:eastAsia="en-US"/>
              </w:rPr>
            </w:pPr>
            <w:r>
              <w:rPr>
                <w:rFonts w:cs="Arial"/>
              </w:rPr>
              <w:t>Normal working day: 0800h to 1800h (doctors are “ward-based”; handover at 0800h then ward-round with the Sister in-charge of your allocated ward; separate ward-rounds with the respective “teams” occur at various points during the day).</w:t>
            </w:r>
          </w:p>
          <w:p w:rsidR="00D36A35" w:rsidRDefault="00D36A35">
            <w:pPr>
              <w:rPr>
                <w:rFonts w:cs="Arial"/>
              </w:rPr>
            </w:pPr>
            <w:r>
              <w:rPr>
                <w:rFonts w:cs="Arial"/>
              </w:rPr>
              <w:t>On-call “Long” day: 0800h to 2030h</w:t>
            </w:r>
          </w:p>
          <w:p w:rsidR="00D36A35" w:rsidRDefault="00D36A35">
            <w:pPr>
              <w:rPr>
                <w:rFonts w:cs="Arial"/>
              </w:rPr>
            </w:pPr>
            <w:r>
              <w:rPr>
                <w:rFonts w:cs="Arial"/>
              </w:rPr>
              <w:t>(</w:t>
            </w:r>
            <w:proofErr w:type="gramStart"/>
            <w:r>
              <w:rPr>
                <w:rFonts w:cs="Arial"/>
              </w:rPr>
              <w:t>handover</w:t>
            </w:r>
            <w:proofErr w:type="gramEnd"/>
            <w:r>
              <w:rPr>
                <w:rFonts w:cs="Arial"/>
              </w:rPr>
              <w:t xml:space="preserve"> between 2000h and 2030h).</w:t>
            </w:r>
          </w:p>
          <w:p w:rsidR="00D36A35" w:rsidRDefault="00D36A35">
            <w:pPr>
              <w:rPr>
                <w:rFonts w:cs="Arial"/>
              </w:rPr>
            </w:pPr>
            <w:r>
              <w:rPr>
                <w:rFonts w:cs="Arial"/>
              </w:rPr>
              <w:t>Weekend “Long” day: 0800h to 2030h (handover between 2000h and 2030h).</w:t>
            </w:r>
          </w:p>
          <w:p w:rsidR="00D36A35" w:rsidRDefault="00D36A35">
            <w:pPr>
              <w:rPr>
                <w:rFonts w:cs="Arial"/>
              </w:rPr>
            </w:pPr>
            <w:r>
              <w:rPr>
                <w:rFonts w:cs="Arial"/>
              </w:rPr>
              <w:t>Weekend “Short” day: 0830h to 1230h.</w:t>
            </w:r>
          </w:p>
          <w:p w:rsidR="00D36A35" w:rsidRDefault="00D36A35">
            <w:pPr>
              <w:rPr>
                <w:rFonts w:cs="Arial"/>
              </w:rPr>
            </w:pPr>
            <w:r>
              <w:rPr>
                <w:rFonts w:cs="Arial"/>
              </w:rPr>
              <w:t>NCCU Weekend (neuro-intensive unit): 0800h to 1630h.</w:t>
            </w:r>
          </w:p>
          <w:p w:rsidR="00D36A35" w:rsidRDefault="00D36A35">
            <w:pPr>
              <w:rPr>
                <w:rFonts w:cs="Arial"/>
              </w:rPr>
            </w:pPr>
            <w:r>
              <w:rPr>
                <w:rFonts w:cs="Arial"/>
              </w:rPr>
              <w:t>Nights: 2000h to 0800h</w:t>
            </w:r>
          </w:p>
          <w:p w:rsidR="00D36A35" w:rsidRDefault="00D36A35">
            <w:pPr>
              <w:rPr>
                <w:rFonts w:cs="Arial"/>
                <w:lang w:val="en-US" w:eastAsia="en-US"/>
              </w:rPr>
            </w:pPr>
          </w:p>
        </w:tc>
      </w:tr>
    </w:tbl>
    <w:p w:rsidR="00DF21D4" w:rsidRPr="00D36A35" w:rsidRDefault="00DF21D4" w:rsidP="00803B90">
      <w:bookmarkStart w:id="0" w:name="_GoBack"/>
      <w:bookmarkEnd w:id="0"/>
    </w:p>
    <w:sectPr w:rsidR="00DF21D4" w:rsidRPr="00D36A35"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5"/>
  </w:num>
  <w:num w:numId="2">
    <w:abstractNumId w:val="5"/>
  </w:num>
  <w:num w:numId="3">
    <w:abstractNumId w:val="8"/>
  </w:num>
  <w:num w:numId="4">
    <w:abstractNumId w:val="1"/>
  </w:num>
  <w:num w:numId="5">
    <w:abstractNumId w:val="9"/>
  </w:num>
  <w:num w:numId="6">
    <w:abstractNumId w:val="10"/>
  </w:num>
  <w:num w:numId="7">
    <w:abstractNumId w:val="4"/>
  </w:num>
  <w:num w:numId="8">
    <w:abstractNumId w:val="7"/>
  </w:num>
  <w:num w:numId="9">
    <w:abstractNumId w:val="2"/>
  </w:num>
  <w:num w:numId="10">
    <w:abstractNumId w:val="0"/>
  </w:num>
  <w:num w:numId="11">
    <w:abstractNumId w:val="7"/>
  </w:num>
  <w:num w:numId="12">
    <w:abstractNumId w:val="4"/>
  </w:num>
  <w:num w:numId="13">
    <w:abstractNumId w:val="6"/>
  </w:num>
  <w:num w:numId="14">
    <w:abstractNumId w:val="7"/>
  </w:num>
  <w:num w:numId="15">
    <w:abstractNumId w:val="4"/>
  </w:num>
  <w:num w:numId="16">
    <w:abstractNumId w:val="3"/>
  </w:num>
  <w:num w:numId="17">
    <w:abstractNumId w:val="7"/>
    <w:lvlOverride w:ilvl="0"/>
    <w:lvlOverride w:ilvl="1"/>
    <w:lvlOverride w:ilvl="2"/>
    <w:lvlOverride w:ilvl="3"/>
    <w:lvlOverride w:ilvl="4"/>
    <w:lvlOverride w:ilvl="5"/>
    <w:lvlOverride w:ilvl="6"/>
    <w:lvlOverride w:ilvl="7"/>
    <w:lvlOverride w:ilvl="8"/>
  </w:num>
  <w:num w:numId="1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746B0"/>
    <w:rsid w:val="00081DA8"/>
    <w:rsid w:val="000A605D"/>
    <w:rsid w:val="000E4AAE"/>
    <w:rsid w:val="000F4C03"/>
    <w:rsid w:val="001610E2"/>
    <w:rsid w:val="001B43CB"/>
    <w:rsid w:val="003520AB"/>
    <w:rsid w:val="00363F01"/>
    <w:rsid w:val="003963AC"/>
    <w:rsid w:val="00472B89"/>
    <w:rsid w:val="00495A12"/>
    <w:rsid w:val="005966EF"/>
    <w:rsid w:val="005F73FC"/>
    <w:rsid w:val="007950BD"/>
    <w:rsid w:val="007D3008"/>
    <w:rsid w:val="00803B90"/>
    <w:rsid w:val="008206BB"/>
    <w:rsid w:val="0085290E"/>
    <w:rsid w:val="008C3E0E"/>
    <w:rsid w:val="008F2E22"/>
    <w:rsid w:val="00925F85"/>
    <w:rsid w:val="00967A91"/>
    <w:rsid w:val="009919DF"/>
    <w:rsid w:val="00A13A79"/>
    <w:rsid w:val="00A65291"/>
    <w:rsid w:val="00AB50E2"/>
    <w:rsid w:val="00B22CFE"/>
    <w:rsid w:val="00BC5EC3"/>
    <w:rsid w:val="00C2247A"/>
    <w:rsid w:val="00D22CF2"/>
    <w:rsid w:val="00D36A35"/>
    <w:rsid w:val="00DD1D02"/>
    <w:rsid w:val="00DF21D4"/>
    <w:rsid w:val="00E2750E"/>
    <w:rsid w:val="00EB508F"/>
    <w:rsid w:val="00EC665C"/>
    <w:rsid w:val="00EE05BF"/>
    <w:rsid w:val="00F4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3</cp:revision>
  <cp:lastPrinted>2014-01-07T09:15:00Z</cp:lastPrinted>
  <dcterms:created xsi:type="dcterms:W3CDTF">2016-09-21T10:36:00Z</dcterms:created>
  <dcterms:modified xsi:type="dcterms:W3CDTF">2016-09-21T10:36:00Z</dcterms:modified>
</cp:coreProperties>
</file>