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78" w:rsidRDefault="00232278" w:rsidP="00232278">
      <w:pPr>
        <w:tabs>
          <w:tab w:val="center" w:pos="5040"/>
          <w:tab w:val="right" w:pos="9900"/>
        </w:tabs>
      </w:pPr>
      <w:r>
        <w:tab/>
      </w:r>
      <w:r>
        <w:tab/>
      </w:r>
    </w:p>
    <w:p w:rsidR="00232278" w:rsidRDefault="00232278" w:rsidP="00232278">
      <w:pPr>
        <w:jc w:val="center"/>
        <w:rPr>
          <w:rFonts w:cs="Arial"/>
          <w:b/>
          <w:sz w:val="28"/>
          <w:szCs w:val="28"/>
        </w:rPr>
      </w:pPr>
    </w:p>
    <w:p w:rsidR="00232278" w:rsidRPr="002C3834" w:rsidRDefault="00232278" w:rsidP="00232278">
      <w:pPr>
        <w:jc w:val="center"/>
        <w:rPr>
          <w:rFonts w:cs="Arial"/>
          <w:b/>
          <w:sz w:val="28"/>
          <w:szCs w:val="28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rFonts w:cs="Arial"/>
                <w:b/>
                <w:sz w:val="28"/>
                <w:szCs w:val="28"/>
              </w:rPr>
              <w:t>East Anglia</w:t>
            </w:r>
          </w:smartTag>
          <w:r>
            <w:rPr>
              <w:rFonts w:cs="Arial"/>
              <w:b/>
              <w:sz w:val="28"/>
              <w:szCs w:val="28"/>
            </w:rPr>
            <w:t xml:space="preserve"> </w:t>
          </w:r>
          <w:smartTag w:uri="urn:schemas-microsoft-com:office:smarttags" w:element="PlaceName">
            <w:r w:rsidRPr="002C3834">
              <w:rPr>
                <w:rFonts w:cs="Arial"/>
                <w:b/>
                <w:sz w:val="28"/>
                <w:szCs w:val="28"/>
              </w:rPr>
              <w:t>Foundation</w:t>
            </w:r>
          </w:smartTag>
          <w:r w:rsidRPr="002C3834">
            <w:rPr>
              <w:rFonts w:cs="Arial"/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r w:rsidRPr="002C3834">
              <w:rPr>
                <w:rFonts w:cs="Arial"/>
                <w:b/>
                <w:sz w:val="28"/>
                <w:szCs w:val="28"/>
              </w:rPr>
              <w:t>School</w:t>
            </w:r>
          </w:smartTag>
        </w:smartTag>
      </w:smartTag>
    </w:p>
    <w:p w:rsidR="00232278" w:rsidRDefault="00232278" w:rsidP="00232278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Individual Placement</w:t>
      </w:r>
      <w:r w:rsidRPr="002C3834">
        <w:rPr>
          <w:rFonts w:cs="Arial"/>
          <w:b/>
          <w:sz w:val="28"/>
          <w:szCs w:val="28"/>
        </w:rPr>
        <w:t xml:space="preserve"> Description </w:t>
      </w:r>
    </w:p>
    <w:p w:rsidR="00232278" w:rsidRDefault="00232278" w:rsidP="00232278">
      <w:pPr>
        <w:jc w:val="center"/>
        <w:rPr>
          <w:rFonts w:cs="Arial"/>
          <w:b/>
          <w:sz w:val="28"/>
          <w:szCs w:val="28"/>
        </w:rPr>
      </w:pPr>
    </w:p>
    <w:p w:rsidR="00232278" w:rsidRPr="002C3834" w:rsidRDefault="00232278" w:rsidP="00232278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Hinchingbrooke Health Care NHS Trust</w:t>
      </w:r>
    </w:p>
    <w:p w:rsidR="00232278" w:rsidRDefault="00232278" w:rsidP="00232278">
      <w:pPr>
        <w:rPr>
          <w:rFonts w:cs="Arial"/>
          <w:b/>
          <w:sz w:val="22"/>
          <w:szCs w:val="22"/>
        </w:rPr>
      </w:pPr>
    </w:p>
    <w:p w:rsidR="00232278" w:rsidRPr="0043462B" w:rsidRDefault="00232278" w:rsidP="00232278">
      <w:pPr>
        <w:rPr>
          <w:rFonts w:cs="Arial"/>
          <w:sz w:val="22"/>
          <w:szCs w:val="22"/>
        </w:rPr>
      </w:pPr>
      <w:proofErr w:type="gramStart"/>
      <w:r w:rsidRPr="0043462B">
        <w:rPr>
          <w:rFonts w:cs="Arial"/>
          <w:sz w:val="22"/>
          <w:szCs w:val="22"/>
        </w:rPr>
        <w:t>All information to be completed by</w:t>
      </w:r>
      <w:r>
        <w:rPr>
          <w:rFonts w:cs="Arial"/>
          <w:sz w:val="22"/>
          <w:szCs w:val="22"/>
        </w:rPr>
        <w:t xml:space="preserve"> the</w:t>
      </w:r>
      <w:r w:rsidRPr="0043462B">
        <w:rPr>
          <w:rFonts w:cs="Arial"/>
          <w:sz w:val="22"/>
          <w:szCs w:val="22"/>
        </w:rPr>
        <w:t xml:space="preserve">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43462B">
              <w:rPr>
                <w:rFonts w:cs="Arial"/>
                <w:sz w:val="22"/>
                <w:szCs w:val="22"/>
              </w:rPr>
              <w:t>Foundation</w:t>
            </w:r>
          </w:smartTag>
          <w:r w:rsidRPr="0043462B">
            <w:rPr>
              <w:rFonts w:cs="Arial"/>
              <w:sz w:val="22"/>
              <w:szCs w:val="22"/>
            </w:rPr>
            <w:t xml:space="preserve"> </w:t>
          </w:r>
          <w:smartTag w:uri="urn:schemas-microsoft-com:office:smarttags" w:element="PlaceType">
            <w:r w:rsidRPr="0043462B">
              <w:rPr>
                <w:rFonts w:cs="Arial"/>
                <w:sz w:val="22"/>
                <w:szCs w:val="22"/>
              </w:rPr>
              <w:t>School</w:t>
            </w:r>
          </w:smartTag>
        </w:smartTag>
      </w:smartTag>
      <w:r w:rsidRPr="0043462B">
        <w:rPr>
          <w:rFonts w:cs="Arial"/>
          <w:sz w:val="22"/>
          <w:szCs w:val="22"/>
        </w:rPr>
        <w:t>.</w:t>
      </w:r>
      <w:proofErr w:type="gramEnd"/>
    </w:p>
    <w:p w:rsidR="00232278" w:rsidRDefault="00232278" w:rsidP="00232278">
      <w:pPr>
        <w:rPr>
          <w:rFonts w:cs="Arial"/>
          <w:b/>
          <w:sz w:val="22"/>
          <w:szCs w:val="22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3851"/>
        <w:gridCol w:w="4177"/>
      </w:tblGrid>
      <w:tr w:rsidR="00232278" w:rsidRPr="004F4EE0" w:rsidTr="0069317B">
        <w:trPr>
          <w:trHeight w:val="144"/>
        </w:trPr>
        <w:tc>
          <w:tcPr>
            <w:tcW w:w="3851" w:type="dxa"/>
          </w:tcPr>
          <w:p w:rsidR="00232278" w:rsidRPr="004F4EE0" w:rsidRDefault="00232278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Placement</w:t>
            </w:r>
          </w:p>
        </w:tc>
        <w:tc>
          <w:tcPr>
            <w:tcW w:w="4177" w:type="dxa"/>
          </w:tcPr>
          <w:p w:rsidR="00232278" w:rsidRDefault="00232278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Hinchingbrooke Health Care NHS Trust, Huntingdon, CAMBS </w:t>
            </w:r>
          </w:p>
          <w:p w:rsidR="00232278" w:rsidRPr="00F909C5" w:rsidRDefault="00232278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PE29 6NT</w:t>
            </w:r>
          </w:p>
          <w:p w:rsidR="00232278" w:rsidRPr="00F909C5" w:rsidRDefault="00232278" w:rsidP="0069317B">
            <w:pPr>
              <w:jc w:val="both"/>
              <w:rPr>
                <w:rFonts w:cs="Arial"/>
              </w:rPr>
            </w:pPr>
          </w:p>
        </w:tc>
      </w:tr>
      <w:tr w:rsidR="00232278" w:rsidRPr="004F4EE0" w:rsidTr="0069317B">
        <w:trPr>
          <w:trHeight w:val="144"/>
        </w:trPr>
        <w:tc>
          <w:tcPr>
            <w:tcW w:w="3851" w:type="dxa"/>
          </w:tcPr>
          <w:p w:rsidR="00232278" w:rsidRDefault="00232278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department</w:t>
            </w:r>
          </w:p>
        </w:tc>
        <w:tc>
          <w:tcPr>
            <w:tcW w:w="4177" w:type="dxa"/>
          </w:tcPr>
          <w:p w:rsidR="00232278" w:rsidRPr="00F909C5" w:rsidRDefault="00232278" w:rsidP="0069317B">
            <w:pPr>
              <w:rPr>
                <w:rFonts w:cs="Arial"/>
              </w:rPr>
            </w:pPr>
            <w:r>
              <w:rPr>
                <w:rFonts w:cs="Arial"/>
              </w:rPr>
              <w:t>General Medicine, Diabetes &amp; Endocrinology</w:t>
            </w:r>
          </w:p>
          <w:p w:rsidR="00232278" w:rsidRPr="00F909C5" w:rsidRDefault="00232278" w:rsidP="0069317B">
            <w:pPr>
              <w:rPr>
                <w:rFonts w:cs="Arial"/>
              </w:rPr>
            </w:pPr>
          </w:p>
        </w:tc>
      </w:tr>
      <w:tr w:rsidR="00232278" w:rsidRPr="004F4EE0" w:rsidTr="0069317B">
        <w:trPr>
          <w:trHeight w:val="144"/>
        </w:trPr>
        <w:tc>
          <w:tcPr>
            <w:tcW w:w="3851" w:type="dxa"/>
          </w:tcPr>
          <w:p w:rsidR="00232278" w:rsidRPr="00047073" w:rsidRDefault="00232278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4177" w:type="dxa"/>
          </w:tcPr>
          <w:p w:rsidR="00232278" w:rsidRPr="00F909C5" w:rsidRDefault="00232278" w:rsidP="0069317B">
            <w:pPr>
              <w:rPr>
                <w:rFonts w:cs="Arial"/>
              </w:rPr>
            </w:pPr>
          </w:p>
          <w:p w:rsidR="00232278" w:rsidRPr="00F909C5" w:rsidRDefault="00232278" w:rsidP="0069317B">
            <w:pPr>
              <w:rPr>
                <w:rFonts w:cs="Arial"/>
              </w:rPr>
            </w:pPr>
          </w:p>
        </w:tc>
      </w:tr>
      <w:tr w:rsidR="00232278" w:rsidRPr="004F4EE0" w:rsidTr="0069317B">
        <w:trPr>
          <w:trHeight w:val="144"/>
        </w:trPr>
        <w:tc>
          <w:tcPr>
            <w:tcW w:w="3851" w:type="dxa"/>
          </w:tcPr>
          <w:p w:rsidR="00232278" w:rsidRPr="004F4EE0" w:rsidRDefault="00232278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Where the placement is based</w:t>
            </w:r>
          </w:p>
        </w:tc>
        <w:tc>
          <w:tcPr>
            <w:tcW w:w="4177" w:type="dxa"/>
          </w:tcPr>
          <w:p w:rsidR="00232278" w:rsidRPr="00F909C5" w:rsidRDefault="00232278" w:rsidP="0069317B">
            <w:pPr>
              <w:jc w:val="both"/>
              <w:rPr>
                <w:rFonts w:cs="Arial"/>
              </w:rPr>
            </w:pP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>
                    <w:rPr>
                      <w:rFonts w:cs="Arial"/>
                    </w:rPr>
                    <w:t>Hinchingbrooke</w:t>
                  </w:r>
                </w:smartTag>
                <w:r>
                  <w:rPr>
                    <w:rFonts w:cs="Arial"/>
                  </w:rPr>
                  <w:t xml:space="preserve"> </w:t>
                </w:r>
                <w:smartTag w:uri="urn:schemas-microsoft-com:office:smarttags" w:element="PlaceType">
                  <w:r>
                    <w:rPr>
                      <w:rFonts w:cs="Arial"/>
                    </w:rPr>
                    <w:t>Hospital</w:t>
                  </w:r>
                </w:smartTag>
              </w:smartTag>
            </w:smartTag>
          </w:p>
          <w:p w:rsidR="00232278" w:rsidRPr="00F909C5" w:rsidRDefault="00232278" w:rsidP="0069317B">
            <w:pPr>
              <w:jc w:val="both"/>
              <w:rPr>
                <w:rFonts w:cs="Arial"/>
              </w:rPr>
            </w:pPr>
          </w:p>
        </w:tc>
      </w:tr>
      <w:tr w:rsidR="00232278" w:rsidRPr="004F4EE0" w:rsidTr="0069317B">
        <w:trPr>
          <w:trHeight w:val="144"/>
        </w:trPr>
        <w:tc>
          <w:tcPr>
            <w:tcW w:w="3851" w:type="dxa"/>
          </w:tcPr>
          <w:p w:rsidR="00232278" w:rsidRDefault="00232278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Clinical Supervisor(s) for the placement</w:t>
            </w:r>
          </w:p>
        </w:tc>
        <w:tc>
          <w:tcPr>
            <w:tcW w:w="4177" w:type="dxa"/>
          </w:tcPr>
          <w:p w:rsidR="00232278" w:rsidRDefault="00232278" w:rsidP="0069317B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Dr.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Singhan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Krishnan</w:t>
            </w:r>
          </w:p>
          <w:p w:rsidR="00232278" w:rsidRPr="00F909C5" w:rsidRDefault="00232278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Dr </w:t>
            </w:r>
            <w:proofErr w:type="spellStart"/>
            <w:smartTag w:uri="urn:schemas-microsoft-com:office:smarttags" w:element="PersonName">
              <w:r>
                <w:rPr>
                  <w:rFonts w:cs="Arial"/>
                </w:rPr>
                <w:t>Anitha</w:t>
              </w:r>
              <w:proofErr w:type="spellEnd"/>
              <w:r>
                <w:rPr>
                  <w:rFonts w:cs="Arial"/>
                </w:rPr>
                <w:t xml:space="preserve"> Mathews</w:t>
              </w:r>
            </w:smartTag>
            <w:r>
              <w:rPr>
                <w:rFonts w:cs="Arial"/>
              </w:rPr>
              <w:t>.</w:t>
            </w:r>
          </w:p>
          <w:p w:rsidR="00232278" w:rsidRPr="00F909C5" w:rsidRDefault="00232278" w:rsidP="0069317B">
            <w:pPr>
              <w:jc w:val="both"/>
              <w:rPr>
                <w:rFonts w:cs="Arial"/>
              </w:rPr>
            </w:pPr>
          </w:p>
        </w:tc>
      </w:tr>
      <w:tr w:rsidR="00232278" w:rsidRPr="004F4EE0" w:rsidTr="0069317B">
        <w:trPr>
          <w:trHeight w:val="144"/>
        </w:trPr>
        <w:tc>
          <w:tcPr>
            <w:tcW w:w="3851" w:type="dxa"/>
          </w:tcPr>
          <w:p w:rsidR="00232278" w:rsidRDefault="00232278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Main duties of the placement</w:t>
            </w:r>
          </w:p>
        </w:tc>
        <w:tc>
          <w:tcPr>
            <w:tcW w:w="4177" w:type="dxa"/>
          </w:tcPr>
          <w:p w:rsidR="00232278" w:rsidRDefault="00232278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W</w:t>
            </w:r>
            <w:r w:rsidRPr="00DF3584">
              <w:rPr>
                <w:rFonts w:cs="Arial"/>
                <w:sz w:val="22"/>
                <w:szCs w:val="22"/>
              </w:rPr>
              <w:t>ard based during the ‘normal’ working day and expected to deliver the daily medical care of all the patients on their ward irrespecti</w:t>
            </w:r>
            <w:r>
              <w:rPr>
                <w:rFonts w:cs="Arial"/>
                <w:sz w:val="22"/>
                <w:szCs w:val="22"/>
              </w:rPr>
              <w:t>ve of specialty. Whilst in the M</w:t>
            </w:r>
            <w:r w:rsidRPr="00DF3584">
              <w:rPr>
                <w:rFonts w:cs="Arial"/>
                <w:sz w:val="22"/>
                <w:szCs w:val="22"/>
              </w:rPr>
              <w:t>AU attachment the F1 will be involved with the generic clerking of patients being admitted and the ongoing care of the patients in the unit.</w:t>
            </w:r>
          </w:p>
          <w:p w:rsidR="00232278" w:rsidRDefault="00232278" w:rsidP="0069317B">
            <w:p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The overall educational objectives of </w:t>
            </w:r>
            <w:r>
              <w:rPr>
                <w:rFonts w:cs="Arial"/>
                <w:sz w:val="22"/>
                <w:szCs w:val="22"/>
              </w:rPr>
              <w:t>the F1</w:t>
            </w:r>
            <w:r w:rsidRPr="00DF3584">
              <w:rPr>
                <w:rFonts w:cs="Arial"/>
                <w:sz w:val="22"/>
                <w:szCs w:val="22"/>
              </w:rPr>
              <w:t xml:space="preserve"> year are to provide the trainee with the knowledge, skills and attitudes to be able to </w:t>
            </w:r>
          </w:p>
          <w:p w:rsidR="00232278" w:rsidRPr="00DF3584" w:rsidRDefault="00232278" w:rsidP="00232278">
            <w:pPr>
              <w:numPr>
                <w:ilvl w:val="0"/>
                <w:numId w:val="8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Take a history and examine a patient</w:t>
            </w:r>
          </w:p>
          <w:p w:rsidR="00232278" w:rsidRPr="00DF3584" w:rsidRDefault="00232278" w:rsidP="00232278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Identify and synthesise problems</w:t>
            </w:r>
          </w:p>
          <w:p w:rsidR="00232278" w:rsidRPr="00DF3584" w:rsidRDefault="00232278" w:rsidP="00232278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Prescribe safely</w:t>
            </w:r>
          </w:p>
          <w:p w:rsidR="00232278" w:rsidRPr="00DF3584" w:rsidRDefault="00232278" w:rsidP="00232278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Keep an accurate and relevant medical record </w:t>
            </w:r>
          </w:p>
          <w:p w:rsidR="00232278" w:rsidRPr="00DF3584" w:rsidRDefault="00232278" w:rsidP="00232278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Manage time and clinical priorities effectively</w:t>
            </w:r>
          </w:p>
          <w:p w:rsidR="00232278" w:rsidRPr="00B859C4" w:rsidRDefault="00232278" w:rsidP="00232278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Communicate effectively with patients, relatives and colleagues</w:t>
            </w:r>
          </w:p>
          <w:p w:rsidR="00232278" w:rsidRDefault="00232278" w:rsidP="0069317B">
            <w:pPr>
              <w:ind w:left="720"/>
              <w:jc w:val="both"/>
              <w:rPr>
                <w:rFonts w:cs="Arial"/>
              </w:rPr>
            </w:pPr>
          </w:p>
          <w:p w:rsidR="00232278" w:rsidRDefault="00232278" w:rsidP="0069317B">
            <w:pPr>
              <w:ind w:left="720"/>
              <w:jc w:val="both"/>
              <w:rPr>
                <w:rFonts w:cs="Arial"/>
              </w:rPr>
            </w:pPr>
          </w:p>
          <w:p w:rsidR="00232278" w:rsidRDefault="00232278" w:rsidP="0069317B">
            <w:pPr>
              <w:ind w:left="720"/>
              <w:jc w:val="both"/>
              <w:rPr>
                <w:rFonts w:cs="Arial"/>
              </w:rPr>
            </w:pPr>
          </w:p>
          <w:p w:rsidR="00232278" w:rsidRPr="00DF3584" w:rsidRDefault="00232278" w:rsidP="0069317B">
            <w:pPr>
              <w:ind w:left="720"/>
              <w:jc w:val="both"/>
              <w:rPr>
                <w:rFonts w:cs="Arial"/>
              </w:rPr>
            </w:pPr>
            <w:bookmarkStart w:id="0" w:name="_GoBack"/>
            <w:bookmarkEnd w:id="0"/>
          </w:p>
          <w:p w:rsidR="00232278" w:rsidRPr="00DF3584" w:rsidRDefault="00232278" w:rsidP="00232278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lastRenderedPageBreak/>
              <w:t>Use evidence, guidelines and audit to benefit patient care</w:t>
            </w:r>
          </w:p>
          <w:p w:rsidR="00232278" w:rsidRPr="00DF3584" w:rsidRDefault="00232278" w:rsidP="00232278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Act in a professional manner at all times</w:t>
            </w:r>
          </w:p>
          <w:p w:rsidR="00232278" w:rsidRPr="00DF3584" w:rsidRDefault="00232278" w:rsidP="00232278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Cope with ethical and legal issues which occur during the management of patients with general medical problems</w:t>
            </w:r>
          </w:p>
          <w:p w:rsidR="00232278" w:rsidRPr="00DF3584" w:rsidRDefault="00232278" w:rsidP="00232278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Educate patients effectively</w:t>
            </w:r>
          </w:p>
          <w:p w:rsidR="00232278" w:rsidRPr="00F909C5" w:rsidRDefault="00232278" w:rsidP="0069317B">
            <w:p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Become life-long learners and teachers</w:t>
            </w:r>
          </w:p>
          <w:p w:rsidR="00232278" w:rsidRPr="00F909C5" w:rsidRDefault="00232278" w:rsidP="0069317B">
            <w:pPr>
              <w:jc w:val="both"/>
              <w:rPr>
                <w:rFonts w:cs="Arial"/>
              </w:rPr>
            </w:pPr>
          </w:p>
        </w:tc>
      </w:tr>
      <w:tr w:rsidR="00232278" w:rsidRPr="004F4EE0" w:rsidTr="0069317B">
        <w:trPr>
          <w:trHeight w:val="144"/>
        </w:trPr>
        <w:tc>
          <w:tcPr>
            <w:tcW w:w="3851" w:type="dxa"/>
          </w:tcPr>
          <w:p w:rsidR="00232278" w:rsidRDefault="00232278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Typical working pattern in this placement</w:t>
            </w:r>
          </w:p>
        </w:tc>
        <w:tc>
          <w:tcPr>
            <w:tcW w:w="4177" w:type="dxa"/>
          </w:tcPr>
          <w:p w:rsidR="00232278" w:rsidRPr="00F909C5" w:rsidRDefault="00232278" w:rsidP="0069317B">
            <w:pPr>
              <w:rPr>
                <w:rFonts w:cs="Arial"/>
              </w:rPr>
            </w:pPr>
            <w:r w:rsidRPr="00F909C5">
              <w:rPr>
                <w:rFonts w:cs="Arial"/>
                <w:sz w:val="22"/>
                <w:szCs w:val="22"/>
              </w:rPr>
              <w:t>Typical working pattern in this post  e.g. ward rounds, clinics, theatre sessions</w:t>
            </w:r>
          </w:p>
          <w:p w:rsidR="00232278" w:rsidRPr="00046563" w:rsidRDefault="00232278" w:rsidP="0069317B">
            <w:pPr>
              <w:rPr>
                <w:rFonts w:cs="Arial"/>
              </w:rPr>
            </w:pPr>
            <w:r w:rsidRPr="00F909C5">
              <w:rPr>
                <w:rFonts w:cs="Arial"/>
                <w:sz w:val="22"/>
                <w:szCs w:val="22"/>
              </w:rPr>
              <w:t>Daily/weekly</w:t>
            </w:r>
            <w:r>
              <w:rPr>
                <w:rFonts w:cs="Arial"/>
                <w:sz w:val="22"/>
                <w:szCs w:val="22"/>
              </w:rPr>
              <w:t xml:space="preserve">/monthly (if applicable)    </w:t>
            </w:r>
          </w:p>
          <w:p w:rsidR="00232278" w:rsidRDefault="00232278" w:rsidP="0069317B">
            <w:pPr>
              <w:jc w:val="both"/>
              <w:rPr>
                <w:rFonts w:cs="Arial"/>
              </w:rPr>
            </w:pPr>
            <w:r w:rsidRPr="00395F9E">
              <w:rPr>
                <w:rFonts w:cs="Arial"/>
                <w:i/>
                <w:sz w:val="22"/>
                <w:szCs w:val="22"/>
              </w:rPr>
              <w:t>Daily:</w:t>
            </w:r>
            <w:r w:rsidRPr="00395F9E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      </w:t>
            </w:r>
          </w:p>
          <w:p w:rsidR="00232278" w:rsidRDefault="00232278" w:rsidP="0069317B">
            <w:pPr>
              <w:jc w:val="both"/>
              <w:rPr>
                <w:rFonts w:cs="Arial"/>
              </w:rPr>
            </w:pPr>
            <w:r w:rsidRPr="004F4EE0">
              <w:rPr>
                <w:rFonts w:cs="Arial"/>
                <w:sz w:val="22"/>
                <w:szCs w:val="22"/>
              </w:rPr>
              <w:t xml:space="preserve">Mon:         </w:t>
            </w:r>
            <w:r>
              <w:rPr>
                <w:rFonts w:cs="Arial"/>
                <w:sz w:val="22"/>
                <w:szCs w:val="22"/>
              </w:rPr>
              <w:t xml:space="preserve"> Consultant WR / Ward Cover</w:t>
            </w:r>
          </w:p>
          <w:p w:rsidR="00232278" w:rsidRDefault="00232278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1.00 pm Grand rounds</w:t>
            </w:r>
          </w:p>
          <w:p w:rsidR="00232278" w:rsidRDefault="00232278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4F4EE0">
              <w:rPr>
                <w:rFonts w:cs="Arial"/>
                <w:sz w:val="22"/>
                <w:szCs w:val="22"/>
              </w:rPr>
              <w:t xml:space="preserve">ues:        </w:t>
            </w:r>
            <w:r>
              <w:rPr>
                <w:rFonts w:cs="Arial"/>
                <w:sz w:val="22"/>
                <w:szCs w:val="22"/>
              </w:rPr>
              <w:t xml:space="preserve">  Post take WR/Ward cover</w:t>
            </w:r>
          </w:p>
          <w:p w:rsidR="00232278" w:rsidRDefault="00232278" w:rsidP="0069317B">
            <w:pPr>
              <w:jc w:val="both"/>
              <w:rPr>
                <w:rFonts w:cs="Arial"/>
              </w:rPr>
            </w:pPr>
            <w:r w:rsidRPr="004F4EE0">
              <w:rPr>
                <w:rFonts w:cs="Arial"/>
                <w:sz w:val="22"/>
                <w:szCs w:val="22"/>
              </w:rPr>
              <w:t xml:space="preserve">Wed:   </w:t>
            </w:r>
            <w:r>
              <w:rPr>
                <w:rFonts w:cs="Arial"/>
                <w:sz w:val="22"/>
                <w:szCs w:val="22"/>
              </w:rPr>
              <w:t xml:space="preserve">        </w:t>
            </w:r>
            <w:proofErr w:type="spellStart"/>
            <w:r>
              <w:rPr>
                <w:rFonts w:cs="Arial"/>
                <w:sz w:val="22"/>
                <w:szCs w:val="22"/>
              </w:rPr>
              <w:t>SpR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WR/ Post take WR</w:t>
            </w:r>
          </w:p>
          <w:p w:rsidR="00232278" w:rsidRDefault="00232278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/Ward cover           </w:t>
            </w:r>
          </w:p>
          <w:p w:rsidR="00232278" w:rsidRDefault="00232278" w:rsidP="0069317B">
            <w:pPr>
              <w:jc w:val="both"/>
              <w:rPr>
                <w:rFonts w:cs="Arial"/>
              </w:rPr>
            </w:pPr>
            <w:r w:rsidRPr="004F4EE0">
              <w:rPr>
                <w:rFonts w:cs="Arial"/>
                <w:sz w:val="22"/>
                <w:szCs w:val="22"/>
              </w:rPr>
              <w:t xml:space="preserve">Thurs:   </w:t>
            </w:r>
            <w:r>
              <w:rPr>
                <w:rFonts w:cs="Arial"/>
                <w:sz w:val="22"/>
                <w:szCs w:val="22"/>
              </w:rPr>
              <w:t xml:space="preserve">    Consultant WR/ Ward cover</w:t>
            </w:r>
          </w:p>
          <w:p w:rsidR="00232278" w:rsidRDefault="00232278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1100</w:t>
            </w:r>
            <w:r w:rsidRPr="004F4EE0">
              <w:rPr>
                <w:rFonts w:cs="Arial"/>
                <w:sz w:val="22"/>
                <w:szCs w:val="22"/>
              </w:rPr>
              <w:t xml:space="preserve">  </w:t>
            </w:r>
            <w:r>
              <w:rPr>
                <w:rFonts w:cs="Arial"/>
                <w:sz w:val="22"/>
                <w:szCs w:val="22"/>
              </w:rPr>
              <w:t xml:space="preserve">departmental </w:t>
            </w:r>
            <w:r w:rsidRPr="004F4EE0">
              <w:rPr>
                <w:rFonts w:cs="Arial"/>
                <w:sz w:val="22"/>
                <w:szCs w:val="22"/>
              </w:rPr>
              <w:t xml:space="preserve">teaching </w:t>
            </w:r>
          </w:p>
          <w:p w:rsidR="00232278" w:rsidRDefault="00232278" w:rsidP="0069317B">
            <w:pPr>
              <w:jc w:val="both"/>
              <w:rPr>
                <w:rFonts w:cs="Arial"/>
              </w:rPr>
            </w:pPr>
            <w:r w:rsidRPr="004F4EE0">
              <w:rPr>
                <w:rFonts w:cs="Arial"/>
                <w:sz w:val="22"/>
                <w:szCs w:val="22"/>
              </w:rPr>
              <w:t xml:space="preserve">Fri:             </w:t>
            </w:r>
            <w:r>
              <w:rPr>
                <w:rFonts w:cs="Arial"/>
                <w:sz w:val="22"/>
                <w:szCs w:val="22"/>
              </w:rPr>
              <w:t>W</w:t>
            </w:r>
            <w:r w:rsidRPr="004F4EE0">
              <w:rPr>
                <w:rFonts w:cs="Arial"/>
                <w:sz w:val="22"/>
                <w:szCs w:val="22"/>
              </w:rPr>
              <w:t xml:space="preserve">ard cover </w:t>
            </w:r>
          </w:p>
          <w:p w:rsidR="00232278" w:rsidRDefault="00232278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1.00 pm Post grad meeting</w:t>
            </w:r>
          </w:p>
          <w:p w:rsidR="00232278" w:rsidRDefault="00232278" w:rsidP="0069317B">
            <w:pPr>
              <w:jc w:val="both"/>
              <w:rPr>
                <w:rFonts w:cs="Arial"/>
              </w:rPr>
            </w:pPr>
          </w:p>
          <w:p w:rsidR="00232278" w:rsidRDefault="00232278" w:rsidP="0069317B">
            <w:pPr>
              <w:jc w:val="both"/>
              <w:rPr>
                <w:rFonts w:cs="Arial"/>
                <w:b/>
              </w:rPr>
            </w:pPr>
            <w:r w:rsidRPr="00C70B03">
              <w:rPr>
                <w:rFonts w:cs="Arial"/>
                <w:i/>
                <w:sz w:val="22"/>
                <w:szCs w:val="22"/>
              </w:rPr>
              <w:t>On call requirements: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232278" w:rsidRDefault="00232278" w:rsidP="0069317B">
            <w:pPr>
              <w:jc w:val="both"/>
              <w:rPr>
                <w:rFonts w:cs="Arial"/>
                <w:b/>
              </w:rPr>
            </w:pPr>
            <w:r w:rsidRPr="00C94329">
              <w:rPr>
                <w:rFonts w:cs="Arial"/>
                <w:sz w:val="22"/>
                <w:szCs w:val="22"/>
              </w:rPr>
              <w:t>Week of MAU shift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1100 – 1700</w:t>
            </w:r>
          </w:p>
          <w:p w:rsidR="00232278" w:rsidRDefault="00232278" w:rsidP="0069317B">
            <w:pPr>
              <w:rPr>
                <w:rFonts w:cs="Arial"/>
              </w:rPr>
            </w:pPr>
            <w:r w:rsidRPr="00C70B03">
              <w:rPr>
                <w:rFonts w:cs="Arial"/>
                <w:sz w:val="22"/>
                <w:szCs w:val="22"/>
              </w:rPr>
              <w:t>1 in 5 with flexible twilight shifts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</w:p>
          <w:p w:rsidR="00232278" w:rsidRDefault="00232278" w:rsidP="006931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Week/Week end nights</w:t>
            </w:r>
          </w:p>
          <w:p w:rsidR="00232278" w:rsidRDefault="00232278" w:rsidP="0069317B">
            <w:pPr>
              <w:jc w:val="both"/>
              <w:rPr>
                <w:rFonts w:cs="Arial"/>
              </w:rPr>
            </w:pPr>
            <w:r w:rsidRPr="004F4EE0">
              <w:rPr>
                <w:rFonts w:cs="Arial"/>
                <w:sz w:val="22"/>
                <w:szCs w:val="22"/>
              </w:rPr>
              <w:t xml:space="preserve">Sat:            0900 – 2100    </w:t>
            </w:r>
            <w:r>
              <w:rPr>
                <w:rFonts w:cs="Arial"/>
                <w:sz w:val="22"/>
                <w:szCs w:val="22"/>
              </w:rPr>
              <w:t>1</w:t>
            </w:r>
            <w:r w:rsidRPr="004F4EE0">
              <w:rPr>
                <w:rFonts w:cs="Arial"/>
                <w:sz w:val="22"/>
                <w:szCs w:val="22"/>
              </w:rPr>
              <w:t xml:space="preserve"> in 5/6</w:t>
            </w:r>
          </w:p>
          <w:p w:rsidR="00232278" w:rsidRPr="00F909C5" w:rsidRDefault="00232278" w:rsidP="0069317B">
            <w:pPr>
              <w:jc w:val="both"/>
              <w:rPr>
                <w:rFonts w:cs="Arial"/>
              </w:rPr>
            </w:pPr>
            <w:r w:rsidRPr="004F4EE0">
              <w:rPr>
                <w:rFonts w:cs="Arial"/>
                <w:sz w:val="22"/>
                <w:szCs w:val="22"/>
              </w:rPr>
              <w:t>Sun:           0900 – 2100   1 in 5/6</w:t>
            </w:r>
          </w:p>
        </w:tc>
      </w:tr>
      <w:tr w:rsidR="00232278" w:rsidRPr="004F4EE0" w:rsidTr="0069317B">
        <w:trPr>
          <w:trHeight w:val="144"/>
        </w:trPr>
        <w:tc>
          <w:tcPr>
            <w:tcW w:w="3851" w:type="dxa"/>
          </w:tcPr>
          <w:p w:rsidR="00232278" w:rsidRPr="00C70B03" w:rsidRDefault="00232278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Employer information</w:t>
            </w:r>
          </w:p>
        </w:tc>
        <w:tc>
          <w:tcPr>
            <w:tcW w:w="4177" w:type="dxa"/>
          </w:tcPr>
          <w:p w:rsidR="00232278" w:rsidRPr="00EA7B5C" w:rsidRDefault="00232278" w:rsidP="0069317B">
            <w:pPr>
              <w:pStyle w:val="BodyText"/>
              <w:rPr>
                <w:rFonts w:ascii="Arial" w:hAnsi="Arial" w:cs="Arial"/>
                <w:szCs w:val="22"/>
              </w:rPr>
            </w:pPr>
          </w:p>
          <w:p w:rsidR="00232278" w:rsidRPr="00EA7B5C" w:rsidRDefault="00232278" w:rsidP="0069317B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</w:tbl>
    <w:p w:rsidR="00232278" w:rsidRDefault="00232278" w:rsidP="00232278">
      <w:pPr>
        <w:rPr>
          <w:rFonts w:cs="Arial"/>
          <w:sz w:val="22"/>
          <w:szCs w:val="22"/>
        </w:rPr>
      </w:pPr>
    </w:p>
    <w:p w:rsidR="00232278" w:rsidRPr="000127C0" w:rsidRDefault="00232278" w:rsidP="0023227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It is important to note that this description is a typical example of your placement and may be subject to change.</w:t>
      </w:r>
    </w:p>
    <w:p w:rsidR="00232278" w:rsidRDefault="00232278" w:rsidP="00232278"/>
    <w:p w:rsidR="00DF21D4" w:rsidRPr="00232278" w:rsidRDefault="00DF21D4" w:rsidP="00232278"/>
    <w:sectPr w:rsidR="00DF21D4" w:rsidRPr="00232278" w:rsidSect="00925F85">
      <w:headerReference w:type="default" r:id="rId8"/>
      <w:footerReference w:type="default" r:id="rId9"/>
      <w:pgSz w:w="11906" w:h="16838"/>
      <w:pgMar w:top="1701" w:right="1800" w:bottom="1418" w:left="1800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BF" w:rsidRDefault="00EE05BF" w:rsidP="00C2247A">
      <w:r>
        <w:separator/>
      </w:r>
    </w:p>
  </w:endnote>
  <w:endnote w:type="continuationSeparator" w:id="0">
    <w:p w:rsidR="00EE05BF" w:rsidRDefault="00EE05BF" w:rsidP="00C2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5D" w:rsidRPr="001B0DFB" w:rsidRDefault="00EB508F" w:rsidP="00EB508F">
    <w:pPr>
      <w:ind w:left="720" w:firstLine="720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F6A56" wp14:editId="6C0F2D9F">
          <wp:simplePos x="0" y="0"/>
          <wp:positionH relativeFrom="column">
            <wp:posOffset>-1372870</wp:posOffset>
          </wp:positionH>
          <wp:positionV relativeFrom="paragraph">
            <wp:posOffset>-141605</wp:posOffset>
          </wp:positionV>
          <wp:extent cx="7559040" cy="1016000"/>
          <wp:effectExtent l="0" t="0" r="3810" b="0"/>
          <wp:wrapNone/>
          <wp:docPr id="10" name="Picture 10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05D" w:rsidRPr="001B0DFB" w:rsidRDefault="00A65291" w:rsidP="00EB508F">
    <w:pPr>
      <w:ind w:left="720" w:firstLine="720"/>
      <w:rPr>
        <w:rFonts w:ascii="Calibri" w:hAnsi="Calibri" w:cs="Calibri"/>
      </w:rPr>
    </w:pPr>
    <w:r>
      <w:rPr>
        <w:rFonts w:ascii="Calibri" w:hAnsi="Calibri" w:cs="Calibri"/>
      </w:rPr>
      <w:t xml:space="preserve"> </w:t>
    </w:r>
  </w:p>
  <w:p w:rsidR="000A605D" w:rsidRDefault="000A6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BF" w:rsidRDefault="00EE05BF" w:rsidP="00C2247A">
      <w:r>
        <w:separator/>
      </w:r>
    </w:p>
  </w:footnote>
  <w:footnote w:type="continuationSeparator" w:id="0">
    <w:p w:rsidR="00EE05BF" w:rsidRDefault="00EE05BF" w:rsidP="00C2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8F" w:rsidRDefault="00A65291">
    <w:pPr>
      <w:pStyle w:val="Header"/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7DF21518" wp14:editId="4B2038CA">
          <wp:simplePos x="0" y="0"/>
          <wp:positionH relativeFrom="column">
            <wp:posOffset>3371850</wp:posOffset>
          </wp:positionH>
          <wp:positionV relativeFrom="paragraph">
            <wp:posOffset>-97155</wp:posOffset>
          </wp:positionV>
          <wp:extent cx="2700000" cy="684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508F" w:rsidRDefault="00EB5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865"/>
    <w:multiLevelType w:val="hybridMultilevel"/>
    <w:tmpl w:val="8E6E7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70740B"/>
    <w:multiLevelType w:val="hybridMultilevel"/>
    <w:tmpl w:val="B89AA0C2"/>
    <w:lvl w:ilvl="0" w:tplc="7856D7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94C25"/>
    <w:multiLevelType w:val="hybridMultilevel"/>
    <w:tmpl w:val="CD446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BE3D26"/>
    <w:multiLevelType w:val="hybridMultilevel"/>
    <w:tmpl w:val="86560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4C679D0"/>
    <w:multiLevelType w:val="hybridMultilevel"/>
    <w:tmpl w:val="D8527648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912F0"/>
    <w:multiLevelType w:val="hybridMultilevel"/>
    <w:tmpl w:val="75443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3F15C4"/>
    <w:multiLevelType w:val="hybridMultilevel"/>
    <w:tmpl w:val="443AF6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9016AF"/>
    <w:multiLevelType w:val="hybridMultilevel"/>
    <w:tmpl w:val="4DC83F18"/>
    <w:lvl w:ilvl="0" w:tplc="0C36F8D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06CA1"/>
    <w:multiLevelType w:val="hybridMultilevel"/>
    <w:tmpl w:val="7854C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AB4158"/>
    <w:multiLevelType w:val="hybridMultilevel"/>
    <w:tmpl w:val="0E925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 w:numId="11">
    <w:abstractNumId w:val="8"/>
  </w:num>
  <w:num w:numId="12">
    <w:abstractNumId w:val="5"/>
  </w:num>
  <w:num w:numId="13">
    <w:abstractNumId w:val="7"/>
  </w:num>
  <w:num w:numId="14">
    <w:abstractNumId w:val="8"/>
  </w:num>
  <w:num w:numId="15">
    <w:abstractNumId w:val="5"/>
  </w:num>
  <w:num w:numId="16">
    <w:abstractNumId w:val="4"/>
  </w:num>
  <w:num w:numId="17">
    <w:abstractNumId w:val="8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7A"/>
    <w:rsid w:val="000746B0"/>
    <w:rsid w:val="00081DA8"/>
    <w:rsid w:val="000A605D"/>
    <w:rsid w:val="000E4AAE"/>
    <w:rsid w:val="000F4C03"/>
    <w:rsid w:val="001610E2"/>
    <w:rsid w:val="001B43CB"/>
    <w:rsid w:val="00232278"/>
    <w:rsid w:val="003520AB"/>
    <w:rsid w:val="00363F01"/>
    <w:rsid w:val="003963AC"/>
    <w:rsid w:val="00472B89"/>
    <w:rsid w:val="00495A12"/>
    <w:rsid w:val="00524ED1"/>
    <w:rsid w:val="005966EF"/>
    <w:rsid w:val="005F73FC"/>
    <w:rsid w:val="007950BD"/>
    <w:rsid w:val="007D3008"/>
    <w:rsid w:val="00803B90"/>
    <w:rsid w:val="008206BB"/>
    <w:rsid w:val="0085290E"/>
    <w:rsid w:val="008C3E0E"/>
    <w:rsid w:val="008F2E22"/>
    <w:rsid w:val="00925F85"/>
    <w:rsid w:val="00967A91"/>
    <w:rsid w:val="009919DF"/>
    <w:rsid w:val="00A13A79"/>
    <w:rsid w:val="00A65291"/>
    <w:rsid w:val="00AB50E2"/>
    <w:rsid w:val="00B22CFE"/>
    <w:rsid w:val="00BC5EC3"/>
    <w:rsid w:val="00C2247A"/>
    <w:rsid w:val="00D22CF2"/>
    <w:rsid w:val="00D36A35"/>
    <w:rsid w:val="00DD1D02"/>
    <w:rsid w:val="00DF21D4"/>
    <w:rsid w:val="00E2750E"/>
    <w:rsid w:val="00EB508F"/>
    <w:rsid w:val="00EC665C"/>
    <w:rsid w:val="00EE05BF"/>
    <w:rsid w:val="00F4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Heidi_Breed</dc:creator>
  <cp:lastModifiedBy>Hunt Rosy</cp:lastModifiedBy>
  <cp:revision>2</cp:revision>
  <cp:lastPrinted>2014-01-07T09:15:00Z</cp:lastPrinted>
  <dcterms:created xsi:type="dcterms:W3CDTF">2016-09-22T12:25:00Z</dcterms:created>
  <dcterms:modified xsi:type="dcterms:W3CDTF">2016-09-22T12:25:00Z</dcterms:modified>
</cp:coreProperties>
</file>