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83B3" w14:textId="2DA88368" w:rsidR="00B75F72" w:rsidRDefault="0067589C" w:rsidP="00B75F72">
      <w:pPr>
        <w:tabs>
          <w:tab w:val="center" w:pos="5040"/>
          <w:tab w:val="right" w:pos="9900"/>
        </w:tabs>
      </w:pPr>
      <w:r>
        <w:rPr>
          <w:rFonts w:eastAsia="Arial"/>
          <w:noProof/>
          <w:szCs w:val="16"/>
        </w:rPr>
        <w:drawing>
          <wp:inline distT="0" distB="0" distL="0" distR="0" wp14:anchorId="34C5FF47" wp14:editId="2ADF201C">
            <wp:extent cx="2438859" cy="657225"/>
            <wp:effectExtent l="0" t="0" r="0" b="0"/>
            <wp:docPr id="4" name="Picture 4" descr="C:\Users\goodierd.WHHT.000\AppData\Local\Microsoft\Windows\Temporary Internet Files\Content.Word\teamWestHerts_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ierd.WHHT.000\AppData\Local\Microsoft\Windows\Temporary Internet Files\Content.Word\teamWestHerts_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72">
        <w:t xml:space="preserve"> </w:t>
      </w:r>
      <w:r w:rsidR="00B75F72">
        <w:tab/>
      </w:r>
      <w:r w:rsidR="00B75F72">
        <w:object w:dxaOrig="2400" w:dyaOrig="1635" w14:anchorId="7F591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6" o:title=""/>
          </v:shape>
          <o:OLEObject Type="Embed" ProgID="MSPhotoEd.3" ShapeID="_x0000_i1025" DrawAspect="Content" ObjectID="_1677485194" r:id="rId7"/>
        </w:object>
      </w:r>
      <w:r w:rsidR="00B75F72">
        <w:tab/>
      </w:r>
      <w:r w:rsidR="00B75F72" w:rsidRPr="00B75F72">
        <w:rPr>
          <w:noProof/>
          <w:lang w:val="en-GB" w:eastAsia="en-GB"/>
        </w:rPr>
        <w:drawing>
          <wp:inline distT="0" distB="0" distL="0" distR="0" wp14:anchorId="16FB608C" wp14:editId="44B38CD6">
            <wp:extent cx="1410335" cy="782786"/>
            <wp:effectExtent l="19050" t="0" r="0" b="0"/>
            <wp:docPr id="5" name="Picture 3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ery 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34" cy="7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11BA1" w14:textId="77777777" w:rsidR="00B75F72" w:rsidRDefault="00B75F72" w:rsidP="00B75F72">
      <w:pPr>
        <w:jc w:val="center"/>
        <w:rPr>
          <w:rFonts w:ascii="Arial" w:hAnsi="Arial" w:cs="Arial"/>
          <w:b/>
          <w:sz w:val="28"/>
          <w:szCs w:val="28"/>
        </w:rPr>
      </w:pPr>
    </w:p>
    <w:p w14:paraId="28DB9CE5" w14:textId="3F344EA3" w:rsidR="00B75F72" w:rsidRPr="002C3834" w:rsidRDefault="0067589C" w:rsidP="00B75F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B75F72">
        <w:rPr>
          <w:rFonts w:ascii="Arial" w:hAnsi="Arial" w:cs="Arial"/>
          <w:b/>
          <w:sz w:val="28"/>
          <w:szCs w:val="28"/>
        </w:rPr>
        <w:t>Individual Placement</w:t>
      </w:r>
      <w:r w:rsidR="00B75F72"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14:paraId="0C1EC20E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p w14:paraId="130743CB" w14:textId="77777777" w:rsidR="00B75F72" w:rsidRPr="0043462B" w:rsidRDefault="00B75F72" w:rsidP="00B75F72">
      <w:pPr>
        <w:rPr>
          <w:rFonts w:ascii="Arial" w:hAnsi="Arial" w:cs="Arial"/>
          <w:sz w:val="22"/>
          <w:szCs w:val="22"/>
        </w:rPr>
      </w:pPr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</w:p>
    <w:p w14:paraId="18C078C6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7C03EB" w:rsidRPr="00FA46CC" w14:paraId="3B69B99C" w14:textId="77777777" w:rsidTr="007C03EB">
        <w:trPr>
          <w:trHeight w:val="144"/>
        </w:trPr>
        <w:tc>
          <w:tcPr>
            <w:tcW w:w="1951" w:type="dxa"/>
          </w:tcPr>
          <w:p w14:paraId="2AE5F5FC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7655" w:type="dxa"/>
          </w:tcPr>
          <w:p w14:paraId="531A84E9" w14:textId="77777777" w:rsidR="007C03EB" w:rsidRPr="00FA46CC" w:rsidRDefault="007C03EB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F1 Gastroenterology</w:t>
            </w:r>
          </w:p>
        </w:tc>
      </w:tr>
      <w:tr w:rsidR="007C03EB" w:rsidRPr="00FA46CC" w14:paraId="7BCA6E77" w14:textId="77777777" w:rsidTr="007C03EB">
        <w:trPr>
          <w:trHeight w:val="144"/>
        </w:trPr>
        <w:tc>
          <w:tcPr>
            <w:tcW w:w="1951" w:type="dxa"/>
          </w:tcPr>
          <w:p w14:paraId="62025CC7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7655" w:type="dxa"/>
          </w:tcPr>
          <w:p w14:paraId="0FAE2699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Gastroenterology, General Medicine</w:t>
            </w:r>
          </w:p>
          <w:p w14:paraId="270B6911" w14:textId="77777777" w:rsidR="007C03EB" w:rsidRPr="00FA46CC" w:rsidRDefault="007C03EB" w:rsidP="00CE2748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Gastroenterology (Cassio Ward), where there are 2 FY1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s, 3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SHO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s and a Reg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istrar who cover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 the ward.</w:t>
            </w:r>
          </w:p>
        </w:tc>
      </w:tr>
      <w:tr w:rsidR="007C03EB" w:rsidRPr="00FA46CC" w14:paraId="02044B45" w14:textId="77777777" w:rsidTr="007C03EB">
        <w:trPr>
          <w:trHeight w:val="534"/>
        </w:trPr>
        <w:tc>
          <w:tcPr>
            <w:tcW w:w="1951" w:type="dxa"/>
          </w:tcPr>
          <w:p w14:paraId="1FFCBB67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655" w:type="dxa"/>
          </w:tcPr>
          <w:p w14:paraId="3DAE0EBF" w14:textId="77777777" w:rsidR="007C03EB" w:rsidRPr="00FA46CC" w:rsidRDefault="007C03EB" w:rsidP="00CE2748">
            <w:pPr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5978954B" w14:textId="77777777" w:rsidR="007C03EB" w:rsidRPr="00FA46CC" w:rsidRDefault="007C03EB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7C03EB" w:rsidRPr="00FA46CC" w14:paraId="3A60C96B" w14:textId="77777777" w:rsidTr="007C03EB">
        <w:trPr>
          <w:trHeight w:val="144"/>
        </w:trPr>
        <w:tc>
          <w:tcPr>
            <w:tcW w:w="1951" w:type="dxa"/>
          </w:tcPr>
          <w:p w14:paraId="79C8548E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7655" w:type="dxa"/>
          </w:tcPr>
          <w:p w14:paraId="1560B82A" w14:textId="77777777" w:rsidR="007C03EB" w:rsidRPr="00FA46CC" w:rsidRDefault="007C03EB" w:rsidP="00CE2748">
            <w:pPr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Clinical management of both gastro and general medical patients. Opportunity to learn and put into practice a number of practical procedures</w:t>
            </w:r>
          </w:p>
          <w:p w14:paraId="3A85CEF1" w14:textId="77777777" w:rsidR="007C03EB" w:rsidRPr="00FA46CC" w:rsidRDefault="007C03EB" w:rsidP="00CE2748">
            <w:pPr>
              <w:rPr>
                <w:rFonts w:ascii="Arial" w:hAnsi="Arial" w:cs="Arial"/>
                <w:lang w:val="en-GB"/>
              </w:rPr>
            </w:pPr>
          </w:p>
        </w:tc>
      </w:tr>
      <w:tr w:rsidR="007C03EB" w:rsidRPr="00FA46CC" w14:paraId="435CB798" w14:textId="77777777" w:rsidTr="007C03EB">
        <w:trPr>
          <w:trHeight w:val="144"/>
        </w:trPr>
        <w:tc>
          <w:tcPr>
            <w:tcW w:w="1951" w:type="dxa"/>
          </w:tcPr>
          <w:p w14:paraId="2E1BEDDB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7655" w:type="dxa"/>
          </w:tcPr>
          <w:p w14:paraId="0080B830" w14:textId="43D4E1A1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r w:rsidR="00B513AC">
              <w:rPr>
                <w:rFonts w:ascii="Arial" w:hAnsi="Arial" w:cs="Arial"/>
                <w:sz w:val="22"/>
                <w:szCs w:val="22"/>
                <w:lang w:val="en-GB"/>
              </w:rPr>
              <w:t>J Landy</w:t>
            </w:r>
          </w:p>
          <w:p w14:paraId="6526C3CE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Dr A. King</w:t>
            </w:r>
          </w:p>
          <w:p w14:paraId="1B32A2C9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Dr R Chaudhary</w:t>
            </w:r>
          </w:p>
          <w:p w14:paraId="009BBC02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 Leahy</w:t>
            </w:r>
          </w:p>
          <w:p w14:paraId="71885B09" w14:textId="77777777" w:rsidR="007C03EB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Dr M Fullard</w:t>
            </w:r>
          </w:p>
          <w:p w14:paraId="17195EF6" w14:textId="77777777" w:rsidR="007C03EB" w:rsidRPr="00FA46CC" w:rsidRDefault="007C03EB" w:rsidP="00CE2748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 Shariff</w:t>
            </w:r>
          </w:p>
        </w:tc>
      </w:tr>
      <w:tr w:rsidR="007C03EB" w:rsidRPr="00FA46CC" w14:paraId="35DEE6BC" w14:textId="77777777" w:rsidTr="007C03EB">
        <w:trPr>
          <w:trHeight w:val="144"/>
        </w:trPr>
        <w:tc>
          <w:tcPr>
            <w:tcW w:w="1951" w:type="dxa"/>
          </w:tcPr>
          <w:p w14:paraId="56FC0CD9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7655" w:type="dxa"/>
          </w:tcPr>
          <w:p w14:paraId="1E85B760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Ward rounds, practical procedures and general ward admin</w:t>
            </w:r>
          </w:p>
          <w:p w14:paraId="0AD8AFDA" w14:textId="77777777" w:rsidR="007C03EB" w:rsidRPr="00FA46C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C03EB" w:rsidRPr="00FA46CC" w14:paraId="6E698619" w14:textId="77777777" w:rsidTr="007C03EB">
        <w:trPr>
          <w:trHeight w:val="144"/>
        </w:trPr>
        <w:tc>
          <w:tcPr>
            <w:tcW w:w="1951" w:type="dxa"/>
          </w:tcPr>
          <w:p w14:paraId="4346780A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7655" w:type="dxa"/>
          </w:tcPr>
          <w:p w14:paraId="0177E4E3" w14:textId="77777777" w:rsidR="007C03EB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Weekday Daily board round at 8.30am</w:t>
            </w:r>
          </w:p>
          <w:p w14:paraId="6F94965A" w14:textId="77777777" w:rsidR="007C03EB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Consultant ward round &amp; ward jobs </w:t>
            </w:r>
          </w:p>
          <w:p w14:paraId="3258FC40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SHO/Reg ward round &amp; jobs          </w:t>
            </w:r>
          </w:p>
          <w:p w14:paraId="1AD1E484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SHO/Reg ward round &amp; jobs            </w:t>
            </w:r>
          </w:p>
          <w:p w14:paraId="01385773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Consultant ward round &amp; ward jobs with 2 hours of protected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teaching time</w:t>
            </w:r>
          </w:p>
          <w:p w14:paraId="697F92CB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SHO/Reg ward round &amp; jobs               </w:t>
            </w:r>
          </w:p>
          <w:p w14:paraId="5E2F628B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Sat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ard cover or AAU on call               </w:t>
            </w:r>
          </w:p>
          <w:p w14:paraId="5AE449E8" w14:textId="77777777" w:rsidR="007C03EB" w:rsidRPr="00FA46CC" w:rsidRDefault="007C03EB" w:rsidP="00CE2748">
            <w:pPr>
              <w:tabs>
                <w:tab w:val="left" w:pos="1310"/>
              </w:tabs>
              <w:rPr>
                <w:rFonts w:ascii="Arial" w:hAnsi="Arial" w:cs="Arial"/>
                <w:lang w:val="en-GB"/>
              </w:rPr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Sun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ard cover or AAU on call             </w:t>
            </w:r>
          </w:p>
          <w:p w14:paraId="02F43A34" w14:textId="77777777" w:rsidR="007C03EB" w:rsidRPr="00FA46CC" w:rsidRDefault="007C03EB" w:rsidP="00CE2748">
            <w:pPr>
              <w:tabs>
                <w:tab w:val="left" w:pos="2302"/>
              </w:tabs>
              <w:spacing w:before="120" w:after="120"/>
            </w:pPr>
            <w:r w:rsidRPr="00750A36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requirements</w:t>
            </w:r>
            <w:r w:rsidRPr="00FA46CC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 Rota </w:t>
            </w:r>
            <w:proofErr w:type="spellStart"/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for ward</w:t>
            </w:r>
            <w:proofErr w:type="spellEnd"/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 xml:space="preserve"> cover on calls and AAU on calls. Nights, weekends and evening on calls all apply to FY1 doctors.</w:t>
            </w:r>
          </w:p>
        </w:tc>
      </w:tr>
      <w:tr w:rsidR="007C03EB" w:rsidRPr="00FA46CC" w14:paraId="3D35DA4C" w14:textId="77777777" w:rsidTr="007C03EB">
        <w:trPr>
          <w:trHeight w:val="144"/>
        </w:trPr>
        <w:tc>
          <w:tcPr>
            <w:tcW w:w="1951" w:type="dxa"/>
          </w:tcPr>
          <w:p w14:paraId="614A698A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7655" w:type="dxa"/>
          </w:tcPr>
          <w:p w14:paraId="7EBFB8A8" w14:textId="77777777" w:rsidR="007C03EB" w:rsidRPr="005804F2" w:rsidRDefault="007C03EB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1C1C09F5" w14:textId="77777777" w:rsidR="007C03EB" w:rsidRPr="005804F2" w:rsidRDefault="007C03EB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7AB6B878" w14:textId="77777777" w:rsidR="007C03EB" w:rsidRPr="00C455BC" w:rsidRDefault="007C03EB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4ECFC3D6" w14:textId="77777777" w:rsidR="007C03EB" w:rsidRPr="00C455BC" w:rsidRDefault="00B513AC" w:rsidP="007C03E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9" w:tooltip="Link to Information about Hemel Hempstead Hospital" w:history="1">
              <w:r w:rsidR="007C03EB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1398C67B" w14:textId="77777777" w:rsidR="007C03EB" w:rsidRPr="00C455BC" w:rsidRDefault="00B513AC" w:rsidP="007C03E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10" w:tooltip="Link to Information about St Albans City Hospital" w:history="1">
              <w:r w:rsidR="007C03EB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67031913" w14:textId="77777777" w:rsidR="007C03EB" w:rsidRPr="00C455BC" w:rsidRDefault="00B513AC" w:rsidP="007C03EB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lang w:val="en-GB"/>
              </w:rPr>
            </w:pPr>
            <w:hyperlink r:id="rId11" w:tooltip="Link to Information about Watford General Hospital" w:history="1">
              <w:r w:rsidR="007C03EB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7CE5D72C" w14:textId="77777777" w:rsidR="007C03EB" w:rsidRPr="005804F2" w:rsidRDefault="007C03EB" w:rsidP="00CE2748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187CBB0F" w14:textId="77777777" w:rsidR="007C03EB" w:rsidRPr="005804F2" w:rsidRDefault="007C03EB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0420DC89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7BB91C14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077720D5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00333EB6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48F9697D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2350C20C" w14:textId="77777777" w:rsidR="007C03EB" w:rsidRPr="005804F2" w:rsidRDefault="007C03EB" w:rsidP="007C03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6C30FBDB" w14:textId="77777777" w:rsidR="007C03EB" w:rsidRPr="005804F2" w:rsidRDefault="007C03EB" w:rsidP="00CE2748">
            <w:pPr>
              <w:pStyle w:val="NormalWeb"/>
              <w:spacing w:before="24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2E3AF4EC" w14:textId="77777777" w:rsidR="007C03EB" w:rsidRPr="005804F2" w:rsidRDefault="007C03EB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26D2DF06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02C2A221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7FD28142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49B5C6CD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5D9880C3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08DF5" w14:textId="77777777" w:rsidR="007C03EB" w:rsidRPr="005804F2" w:rsidRDefault="007C03EB" w:rsidP="007C03EB">
            <w:pPr>
              <w:pStyle w:val="NormalWeb"/>
              <w:numPr>
                <w:ilvl w:val="0"/>
                <w:numId w:val="3"/>
              </w:numPr>
              <w:spacing w:after="24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4AA2D708" w14:textId="77777777" w:rsidR="007C03EB" w:rsidRPr="005804F2" w:rsidRDefault="007C03EB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64201E61" w14:textId="77777777" w:rsidR="007C03EB" w:rsidRPr="005804F2" w:rsidRDefault="007C03EB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3F3A4C3A" w14:textId="77777777" w:rsidR="007C03EB" w:rsidRPr="005804F2" w:rsidRDefault="007C03EB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3A8B1082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040510FD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51697182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55345986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545B4697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4CAFF1AF" w14:textId="77777777" w:rsidR="007C03EB" w:rsidRPr="005804F2" w:rsidRDefault="007C03EB" w:rsidP="007C03E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14D7B6D2" w14:textId="77777777" w:rsidR="007C03EB" w:rsidRPr="005804F2" w:rsidRDefault="007C03EB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28D4D83" w14:textId="77777777" w:rsidR="007C03EB" w:rsidRDefault="007C03EB" w:rsidP="00CE2748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71E36F68" w14:textId="77777777" w:rsidR="007C03EB" w:rsidRPr="00FA46CC" w:rsidRDefault="007C03EB" w:rsidP="00CE2748">
            <w:pPr>
              <w:jc w:val="both"/>
              <w:rPr>
                <w:rFonts w:ascii="Arial" w:hAnsi="Arial" w:cs="Arial"/>
              </w:rPr>
            </w:pPr>
          </w:p>
        </w:tc>
      </w:tr>
      <w:tr w:rsidR="007C03EB" w:rsidRPr="00FA46CC" w14:paraId="77BC544F" w14:textId="77777777" w:rsidTr="007C03EB">
        <w:trPr>
          <w:trHeight w:val="144"/>
        </w:trPr>
        <w:tc>
          <w:tcPr>
            <w:tcW w:w="1951" w:type="dxa"/>
          </w:tcPr>
          <w:p w14:paraId="560476A4" w14:textId="77777777" w:rsidR="007C03EB" w:rsidRPr="00FA46CC" w:rsidRDefault="007C03EB" w:rsidP="00CE2748">
            <w:pPr>
              <w:rPr>
                <w:rFonts w:ascii="Arial" w:hAnsi="Arial" w:cs="Arial"/>
                <w:b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655" w:type="dxa"/>
          </w:tcPr>
          <w:p w14:paraId="0448540A" w14:textId="77777777" w:rsidR="007C03EB" w:rsidRPr="00263296" w:rsidRDefault="007C03EB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65CCAAAB" w14:textId="77777777" w:rsidR="007C03EB" w:rsidRPr="00263296" w:rsidRDefault="007C03EB" w:rsidP="00CE2748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0EFB5403" w14:textId="77777777" w:rsidR="007C03EB" w:rsidRDefault="007C03EB" w:rsidP="00B75F72">
      <w:pPr>
        <w:rPr>
          <w:rFonts w:ascii="Arial" w:hAnsi="Arial" w:cs="Arial"/>
          <w:b/>
          <w:sz w:val="22"/>
          <w:szCs w:val="22"/>
        </w:rPr>
      </w:pPr>
    </w:p>
    <w:sectPr w:rsidR="007C03EB" w:rsidSect="0035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2"/>
    <w:rsid w:val="000565EC"/>
    <w:rsid w:val="00355FE5"/>
    <w:rsid w:val="00605C87"/>
    <w:rsid w:val="0067589C"/>
    <w:rsid w:val="00704194"/>
    <w:rsid w:val="007C03EB"/>
    <w:rsid w:val="00B513AC"/>
    <w:rsid w:val="00B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8E8696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7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5F7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75F7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7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7C03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03EB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esthertshospitals.nhs.uk/about/our_hospitals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hertshospitals.nhs.uk/about/our_hospit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Company>SHA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QATemp2</dc:creator>
  <cp:lastModifiedBy>GOODIER, David (WEST HERTFORDSHIRE HOSPITALS NHS TRUST)</cp:lastModifiedBy>
  <cp:revision>3</cp:revision>
  <dcterms:created xsi:type="dcterms:W3CDTF">2021-03-17T11:19:00Z</dcterms:created>
  <dcterms:modified xsi:type="dcterms:W3CDTF">2021-03-17T11:20:00Z</dcterms:modified>
</cp:coreProperties>
</file>