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2C" w:rsidRDefault="005A692C" w:rsidP="005A692C">
      <w:pPr>
        <w:tabs>
          <w:tab w:val="center" w:pos="5040"/>
          <w:tab w:val="right" w:pos="9900"/>
        </w:tabs>
      </w:pPr>
      <w:r>
        <w:t xml:space="preserve"> </w:t>
      </w:r>
      <w:r>
        <w:tab/>
      </w:r>
      <w:r>
        <w:tab/>
      </w:r>
    </w:p>
    <w:p w:rsidR="005A692C" w:rsidRDefault="005A692C" w:rsidP="005A692C">
      <w:pPr>
        <w:jc w:val="center"/>
        <w:rPr>
          <w:rFonts w:cs="Arial"/>
          <w:b/>
          <w:sz w:val="28"/>
          <w:szCs w:val="28"/>
        </w:rPr>
      </w:pPr>
    </w:p>
    <w:p w:rsidR="005A692C" w:rsidRDefault="005A692C" w:rsidP="005A692C">
      <w:pPr>
        <w:jc w:val="center"/>
        <w:rPr>
          <w:rFonts w:cs="Arial"/>
          <w:b/>
          <w:sz w:val="28"/>
          <w:szCs w:val="28"/>
        </w:rPr>
      </w:pPr>
      <w:r>
        <w:rPr>
          <w:rFonts w:cs="Arial"/>
          <w:b/>
          <w:sz w:val="28"/>
          <w:szCs w:val="28"/>
        </w:rPr>
        <w:t>East Anglia Foundation School</w:t>
      </w:r>
    </w:p>
    <w:p w:rsidR="005A692C" w:rsidRDefault="005A692C" w:rsidP="005A692C">
      <w:pPr>
        <w:jc w:val="center"/>
        <w:rPr>
          <w:rFonts w:cs="Arial"/>
          <w:b/>
          <w:sz w:val="28"/>
          <w:szCs w:val="28"/>
        </w:rPr>
      </w:pPr>
      <w:r>
        <w:rPr>
          <w:rFonts w:cs="Arial"/>
          <w:b/>
          <w:sz w:val="28"/>
          <w:szCs w:val="28"/>
        </w:rPr>
        <w:t xml:space="preserve">Individual Placement Description </w:t>
      </w:r>
    </w:p>
    <w:p w:rsidR="005A692C" w:rsidRDefault="005A692C" w:rsidP="005A692C">
      <w:pPr>
        <w:jc w:val="center"/>
        <w:rPr>
          <w:rFonts w:cs="Arial"/>
          <w:b/>
          <w:sz w:val="28"/>
          <w:szCs w:val="28"/>
        </w:rPr>
      </w:pPr>
    </w:p>
    <w:p w:rsidR="005A692C" w:rsidRDefault="005A692C" w:rsidP="005A692C">
      <w:pPr>
        <w:jc w:val="center"/>
        <w:rPr>
          <w:rFonts w:cs="Arial"/>
          <w:b/>
          <w:sz w:val="28"/>
          <w:szCs w:val="28"/>
        </w:rPr>
      </w:pPr>
      <w:r>
        <w:rPr>
          <w:rFonts w:cs="Arial"/>
          <w:b/>
          <w:sz w:val="28"/>
          <w:szCs w:val="28"/>
        </w:rPr>
        <w:t>Bedford Hospital NHS Trust</w:t>
      </w:r>
    </w:p>
    <w:p w:rsidR="005A692C" w:rsidRDefault="005A692C" w:rsidP="005A692C">
      <w:pPr>
        <w:rPr>
          <w:rFonts w:cs="Arial"/>
          <w:b/>
          <w:sz w:val="22"/>
          <w:szCs w:val="22"/>
        </w:rPr>
      </w:pPr>
    </w:p>
    <w:p w:rsidR="005A692C" w:rsidRDefault="005A692C" w:rsidP="005A692C">
      <w:pPr>
        <w:rPr>
          <w:rFonts w:cs="Arial"/>
          <w:sz w:val="22"/>
          <w:szCs w:val="22"/>
        </w:rPr>
      </w:pPr>
      <w:proofErr w:type="gramStart"/>
      <w:r>
        <w:rPr>
          <w:rFonts w:cs="Arial"/>
          <w:sz w:val="22"/>
          <w:szCs w:val="22"/>
        </w:rPr>
        <w:t>All information to be completed by the Foundation School.</w:t>
      </w:r>
      <w:proofErr w:type="gramEnd"/>
    </w:p>
    <w:p w:rsidR="005A692C" w:rsidRDefault="005A692C" w:rsidP="005A692C">
      <w:pPr>
        <w:rPr>
          <w:rFonts w:cs="Arial"/>
          <w:b/>
          <w:sz w:val="22"/>
          <w:szCs w:val="22"/>
        </w:rPr>
      </w:pPr>
    </w:p>
    <w:p w:rsidR="005A692C" w:rsidRDefault="005A692C" w:rsidP="005A692C">
      <w:pPr>
        <w:rPr>
          <w:rFonts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961"/>
      </w:tblGrid>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hideMark/>
          </w:tcPr>
          <w:p w:rsidR="005A692C" w:rsidRDefault="005A692C">
            <w:pPr>
              <w:spacing w:line="276" w:lineRule="auto"/>
              <w:jc w:val="both"/>
              <w:rPr>
                <w:rFonts w:cs="Arial"/>
                <w:b/>
                <w:lang w:val="en-US" w:eastAsia="en-US"/>
              </w:rPr>
            </w:pPr>
            <w:r>
              <w:rPr>
                <w:rFonts w:cs="Arial"/>
                <w:b/>
                <w:sz w:val="22"/>
                <w:szCs w:val="22"/>
              </w:rPr>
              <w:t>Placement</w:t>
            </w:r>
          </w:p>
        </w:tc>
        <w:tc>
          <w:tcPr>
            <w:tcW w:w="4961"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ind w:left="-108"/>
              <w:rPr>
                <w:rFonts w:cs="Arial"/>
                <w:lang w:val="en-US"/>
              </w:rPr>
            </w:pPr>
            <w:bookmarkStart w:id="0" w:name="_GoBack"/>
            <w:r>
              <w:rPr>
                <w:rFonts w:cs="Arial"/>
                <w:sz w:val="22"/>
                <w:szCs w:val="22"/>
              </w:rPr>
              <w:t>FY1 Gastroenterology and General Medicine</w:t>
            </w:r>
            <w:bookmarkEnd w:id="0"/>
            <w:r>
              <w:rPr>
                <w:rFonts w:cs="Arial"/>
                <w:sz w:val="22"/>
                <w:szCs w:val="22"/>
              </w:rPr>
              <w:t>. Bedford Hospital is a centre for the national bowel screening program for colonic cancer</w:t>
            </w:r>
          </w:p>
          <w:p w:rsidR="005A692C" w:rsidRDefault="005A692C">
            <w:pPr>
              <w:spacing w:line="276" w:lineRule="auto"/>
              <w:ind w:left="-108"/>
              <w:rPr>
                <w:rFonts w:cs="Arial"/>
                <w:lang w:val="en-US" w:eastAsia="en-US"/>
              </w:rPr>
            </w:pPr>
          </w:p>
        </w:tc>
      </w:tr>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hideMark/>
          </w:tcPr>
          <w:p w:rsidR="005A692C" w:rsidRDefault="005A692C">
            <w:pPr>
              <w:spacing w:line="276" w:lineRule="auto"/>
              <w:rPr>
                <w:rFonts w:cs="Arial"/>
                <w:b/>
                <w:lang w:val="en-US" w:eastAsia="en-US"/>
              </w:rPr>
            </w:pPr>
            <w:r>
              <w:rPr>
                <w:rFonts w:cs="Arial"/>
                <w:b/>
                <w:sz w:val="22"/>
                <w:szCs w:val="22"/>
              </w:rPr>
              <w:t>The department</w:t>
            </w:r>
          </w:p>
        </w:tc>
        <w:tc>
          <w:tcPr>
            <w:tcW w:w="4961"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ind w:left="-108"/>
              <w:rPr>
                <w:rFonts w:cs="Arial"/>
                <w:lang w:val="en-US"/>
              </w:rPr>
            </w:pPr>
            <w:r>
              <w:rPr>
                <w:rFonts w:cs="Arial"/>
                <w:sz w:val="22"/>
                <w:szCs w:val="22"/>
              </w:rPr>
              <w:t xml:space="preserve">Four consultants and two </w:t>
            </w:r>
            <w:proofErr w:type="spellStart"/>
            <w:r>
              <w:rPr>
                <w:rFonts w:cs="Arial"/>
                <w:sz w:val="22"/>
                <w:szCs w:val="22"/>
              </w:rPr>
              <w:t>SpRs</w:t>
            </w:r>
            <w:proofErr w:type="spellEnd"/>
            <w:r>
              <w:rPr>
                <w:rFonts w:cs="Arial"/>
                <w:sz w:val="22"/>
                <w:szCs w:val="22"/>
              </w:rPr>
              <w:t>,  two CMT and 1 FY2</w:t>
            </w:r>
          </w:p>
          <w:p w:rsidR="005A692C" w:rsidRDefault="005A692C">
            <w:pPr>
              <w:spacing w:line="276" w:lineRule="auto"/>
              <w:ind w:left="-108"/>
              <w:rPr>
                <w:rFonts w:cs="Arial"/>
                <w:lang w:val="en-US" w:eastAsia="en-US"/>
              </w:rPr>
            </w:pPr>
          </w:p>
        </w:tc>
      </w:tr>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hideMark/>
          </w:tcPr>
          <w:p w:rsidR="005A692C" w:rsidRDefault="005A692C">
            <w:pPr>
              <w:spacing w:line="276" w:lineRule="auto"/>
              <w:rPr>
                <w:rFonts w:cs="Arial"/>
                <w:b/>
                <w:lang w:val="en-US" w:eastAsia="en-US"/>
              </w:rPr>
            </w:pPr>
            <w:r>
              <w:rPr>
                <w:rFonts w:cs="Arial"/>
                <w:b/>
                <w:sz w:val="22"/>
                <w:szCs w:val="22"/>
              </w:rPr>
              <w:t>The type of work to expect and learning opportunities</w:t>
            </w:r>
          </w:p>
        </w:tc>
        <w:tc>
          <w:tcPr>
            <w:tcW w:w="4961"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ind w:left="-108"/>
              <w:rPr>
                <w:rFonts w:cs="Arial"/>
                <w:lang w:val="en-US"/>
              </w:rPr>
            </w:pPr>
          </w:p>
          <w:p w:rsidR="005A692C" w:rsidRDefault="005A692C">
            <w:pPr>
              <w:spacing w:after="120" w:line="276" w:lineRule="auto"/>
              <w:ind w:left="-108"/>
              <w:rPr>
                <w:rFonts w:cs="Arial"/>
                <w:sz w:val="22"/>
                <w:szCs w:val="22"/>
              </w:rPr>
            </w:pPr>
            <w:r>
              <w:rPr>
                <w:rFonts w:cs="Arial"/>
                <w:sz w:val="22"/>
                <w:szCs w:val="22"/>
              </w:rPr>
              <w:t xml:space="preserve">The FY1 will be supervised in predominately ward-based work at all times and will be rostered to do FY1 night shifts with the AAU team. </w:t>
            </w:r>
          </w:p>
          <w:p w:rsidR="005A692C" w:rsidRDefault="005A692C">
            <w:pPr>
              <w:spacing w:after="120" w:line="276" w:lineRule="auto"/>
              <w:ind w:left="-108"/>
              <w:rPr>
                <w:rFonts w:cs="Arial"/>
              </w:rPr>
            </w:pPr>
            <w:r>
              <w:rPr>
                <w:rFonts w:cs="Arial"/>
                <w:sz w:val="22"/>
                <w:szCs w:val="22"/>
              </w:rPr>
              <w:t xml:space="preserve">The full range of knowledge and competences for the FY1 may be covered. </w:t>
            </w:r>
            <w:proofErr w:type="spellStart"/>
            <w:r>
              <w:rPr>
                <w:rFonts w:cs="Arial"/>
                <w:sz w:val="22"/>
                <w:szCs w:val="22"/>
              </w:rPr>
              <w:t>He/She</w:t>
            </w:r>
            <w:proofErr w:type="spellEnd"/>
            <w:r>
              <w:rPr>
                <w:rFonts w:cs="Arial"/>
                <w:sz w:val="22"/>
                <w:szCs w:val="22"/>
              </w:rPr>
              <w:t xml:space="preserve"> may work in a new specialist surgery and gastroenterology unit covering gastrointestinal disease, hepatology and nutrition. The FY1 will have experience in assessing and managing as well as understanding the immunology and genetic factors of disease. There will be management of acute GI bleeding from variceal and peptic ulcer causes and from unknown origin. Hepatology will cover alcohol and infection as well as idiopathic disease and the management of decompensated Liver disease. There may be patients with cancer of GI origin. The FY1 will have opportunities to see interventional endoscopy including </w:t>
            </w:r>
            <w:proofErr w:type="spellStart"/>
            <w:r>
              <w:rPr>
                <w:rFonts w:cs="Arial"/>
                <w:sz w:val="22"/>
                <w:szCs w:val="22"/>
              </w:rPr>
              <w:t>eosophageal</w:t>
            </w:r>
            <w:proofErr w:type="spellEnd"/>
            <w:r>
              <w:rPr>
                <w:rFonts w:cs="Arial"/>
                <w:sz w:val="22"/>
                <w:szCs w:val="22"/>
              </w:rPr>
              <w:t xml:space="preserve"> and biliary stents as well as ERCP.</w:t>
            </w:r>
          </w:p>
          <w:p w:rsidR="005A692C" w:rsidRDefault="005A692C">
            <w:pPr>
              <w:spacing w:after="120" w:line="276" w:lineRule="auto"/>
              <w:ind w:left="-108"/>
              <w:rPr>
                <w:rFonts w:cs="Arial"/>
              </w:rPr>
            </w:pPr>
            <w:r>
              <w:rPr>
                <w:rFonts w:cs="Arial"/>
                <w:sz w:val="22"/>
                <w:szCs w:val="22"/>
              </w:rPr>
              <w:t>The nutritional element will include assessment, monitoring and artificial support for patients including PEG and Parenteral feeding.</w:t>
            </w:r>
          </w:p>
          <w:p w:rsidR="005A692C" w:rsidRDefault="005A692C">
            <w:pPr>
              <w:spacing w:after="120" w:line="276" w:lineRule="auto"/>
              <w:ind w:left="-108"/>
              <w:rPr>
                <w:rFonts w:cs="Arial"/>
              </w:rPr>
            </w:pPr>
            <w:r>
              <w:rPr>
                <w:rFonts w:cs="Arial"/>
                <w:sz w:val="22"/>
                <w:szCs w:val="22"/>
              </w:rPr>
              <w:t>There will be opportunities to learn from and observe and carry out liaison with clinical nurse specialists in nutritional and palliative care</w:t>
            </w:r>
          </w:p>
          <w:p w:rsidR="005A692C" w:rsidRDefault="005A692C">
            <w:pPr>
              <w:spacing w:after="120" w:line="276" w:lineRule="auto"/>
              <w:rPr>
                <w:rFonts w:cs="Arial"/>
              </w:rPr>
            </w:pPr>
            <w:r>
              <w:rPr>
                <w:rFonts w:cs="Arial"/>
                <w:sz w:val="22"/>
                <w:szCs w:val="22"/>
              </w:rPr>
              <w:t>General medicine</w:t>
            </w:r>
          </w:p>
          <w:p w:rsidR="005A692C" w:rsidRDefault="005A692C">
            <w:pPr>
              <w:spacing w:after="120" w:line="276" w:lineRule="auto"/>
              <w:rPr>
                <w:rFonts w:cs="Arial"/>
              </w:rPr>
            </w:pPr>
            <w:r>
              <w:rPr>
                <w:rFonts w:cs="Arial"/>
                <w:sz w:val="22"/>
                <w:szCs w:val="22"/>
              </w:rPr>
              <w:lastRenderedPageBreak/>
              <w:t>There will be a share of acute medical admissions involving assessment, care and discharge planning. There are opportunities to present patients and do Work Based Assessments, as well as having Feedback. The FY1 will learn to perform Core procedures.</w:t>
            </w:r>
          </w:p>
          <w:p w:rsidR="005A692C" w:rsidRDefault="005A692C">
            <w:pPr>
              <w:spacing w:after="120" w:line="276" w:lineRule="auto"/>
              <w:rPr>
                <w:rFonts w:cs="Arial"/>
              </w:rPr>
            </w:pPr>
            <w:r>
              <w:rPr>
                <w:rFonts w:cs="Arial"/>
                <w:sz w:val="22"/>
                <w:szCs w:val="22"/>
              </w:rPr>
              <w:t>Learning will correspond to bedside experience, as well as  from Trust and other mandatory training and attendance at the Foundation core course (Bleep free).The FY1 Doctor will learn to:</w:t>
            </w:r>
          </w:p>
          <w:p w:rsidR="005A692C" w:rsidRDefault="005A692C">
            <w:pPr>
              <w:spacing w:line="276" w:lineRule="auto"/>
              <w:rPr>
                <w:rFonts w:cs="Arial"/>
              </w:rPr>
            </w:pPr>
          </w:p>
          <w:p w:rsidR="005A692C" w:rsidRDefault="005A692C" w:rsidP="005A692C">
            <w:pPr>
              <w:pStyle w:val="ListParagraph"/>
              <w:numPr>
                <w:ilvl w:val="0"/>
                <w:numId w:val="20"/>
              </w:numPr>
              <w:spacing w:after="0"/>
              <w:rPr>
                <w:rFonts w:ascii="Arial" w:hAnsi="Arial" w:cs="Arial"/>
              </w:rPr>
            </w:pPr>
            <w:r>
              <w:rPr>
                <w:rFonts w:ascii="Arial" w:hAnsi="Arial" w:cs="Arial"/>
              </w:rPr>
              <w:t xml:space="preserve">Manage time and clinical priorities effectively. </w:t>
            </w:r>
          </w:p>
          <w:p w:rsidR="005A692C" w:rsidRDefault="005A692C" w:rsidP="005A692C">
            <w:pPr>
              <w:pStyle w:val="ListParagraph"/>
              <w:numPr>
                <w:ilvl w:val="0"/>
                <w:numId w:val="20"/>
              </w:numPr>
              <w:spacing w:after="0"/>
              <w:rPr>
                <w:rFonts w:ascii="Arial" w:hAnsi="Arial" w:cs="Arial"/>
              </w:rPr>
            </w:pPr>
            <w:r>
              <w:rPr>
                <w:rFonts w:ascii="Arial" w:hAnsi="Arial" w:cs="Arial"/>
              </w:rPr>
              <w:t>Communicate effectively with patients and staff.</w:t>
            </w:r>
          </w:p>
          <w:p w:rsidR="005A692C" w:rsidRDefault="005A692C" w:rsidP="005A692C">
            <w:pPr>
              <w:pStyle w:val="ListParagraph"/>
              <w:numPr>
                <w:ilvl w:val="0"/>
                <w:numId w:val="20"/>
              </w:numPr>
              <w:spacing w:after="0"/>
              <w:rPr>
                <w:rFonts w:ascii="Arial" w:hAnsi="Arial" w:cs="Arial"/>
              </w:rPr>
            </w:pPr>
            <w:r>
              <w:rPr>
                <w:rFonts w:ascii="Arial" w:hAnsi="Arial" w:cs="Arial"/>
              </w:rPr>
              <w:t>Use Evidence-based Guidelines and be involved in Audit.</w:t>
            </w:r>
          </w:p>
          <w:p w:rsidR="005A692C" w:rsidRDefault="005A692C" w:rsidP="005A692C">
            <w:pPr>
              <w:pStyle w:val="ListParagraph"/>
              <w:numPr>
                <w:ilvl w:val="0"/>
                <w:numId w:val="20"/>
              </w:numPr>
              <w:spacing w:after="0"/>
              <w:rPr>
                <w:rFonts w:ascii="Arial" w:hAnsi="Arial" w:cs="Arial"/>
              </w:rPr>
            </w:pPr>
            <w:r>
              <w:rPr>
                <w:rFonts w:ascii="Arial" w:hAnsi="Arial" w:cs="Arial"/>
              </w:rPr>
              <w:t>Cope with ethical and legal issues.</w:t>
            </w:r>
          </w:p>
          <w:p w:rsidR="005A692C" w:rsidRDefault="005A692C" w:rsidP="005A692C">
            <w:pPr>
              <w:pStyle w:val="ListParagraph"/>
              <w:numPr>
                <w:ilvl w:val="0"/>
                <w:numId w:val="20"/>
              </w:numPr>
              <w:spacing w:after="0"/>
              <w:rPr>
                <w:rFonts w:ascii="Arial" w:hAnsi="Arial" w:cs="Arial"/>
              </w:rPr>
            </w:pPr>
            <w:r>
              <w:rPr>
                <w:rFonts w:ascii="Arial" w:hAnsi="Arial" w:cs="Arial"/>
              </w:rPr>
              <w:t>Prescribe safely.</w:t>
            </w:r>
          </w:p>
          <w:p w:rsidR="005A692C" w:rsidRDefault="005A692C">
            <w:pPr>
              <w:spacing w:after="120" w:line="276" w:lineRule="auto"/>
              <w:ind w:left="-108"/>
              <w:rPr>
                <w:rFonts w:cs="Arial"/>
              </w:rPr>
            </w:pPr>
          </w:p>
          <w:p w:rsidR="005A692C" w:rsidRDefault="005A692C">
            <w:pPr>
              <w:spacing w:after="120" w:line="276" w:lineRule="auto"/>
              <w:ind w:left="-108"/>
              <w:rPr>
                <w:rFonts w:cs="Arial"/>
              </w:rPr>
            </w:pPr>
          </w:p>
          <w:p w:rsidR="005A692C" w:rsidRDefault="005A692C">
            <w:pPr>
              <w:spacing w:line="276" w:lineRule="auto"/>
              <w:ind w:left="-108"/>
              <w:rPr>
                <w:rFonts w:cs="Arial"/>
              </w:rPr>
            </w:pPr>
          </w:p>
          <w:p w:rsidR="005A692C" w:rsidRDefault="005A692C">
            <w:pPr>
              <w:spacing w:line="276" w:lineRule="auto"/>
              <w:ind w:left="-108"/>
              <w:rPr>
                <w:rFonts w:cs="Arial"/>
                <w:lang w:val="en-US" w:eastAsia="en-US"/>
              </w:rPr>
            </w:pPr>
          </w:p>
        </w:tc>
      </w:tr>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hideMark/>
          </w:tcPr>
          <w:p w:rsidR="005A692C" w:rsidRDefault="005A692C">
            <w:pPr>
              <w:spacing w:line="276" w:lineRule="auto"/>
              <w:jc w:val="both"/>
              <w:rPr>
                <w:rFonts w:cs="Arial"/>
                <w:b/>
                <w:lang w:val="en-US" w:eastAsia="en-US"/>
              </w:rPr>
            </w:pPr>
            <w:r>
              <w:rPr>
                <w:rFonts w:cs="Arial"/>
                <w:b/>
                <w:sz w:val="22"/>
                <w:szCs w:val="22"/>
              </w:rPr>
              <w:lastRenderedPageBreak/>
              <w:t>Where the placement is based</w:t>
            </w:r>
          </w:p>
        </w:tc>
        <w:tc>
          <w:tcPr>
            <w:tcW w:w="4961"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ind w:left="-108"/>
              <w:jc w:val="both"/>
              <w:rPr>
                <w:rFonts w:cs="Arial"/>
                <w:lang w:val="en-US"/>
              </w:rPr>
            </w:pPr>
            <w:r>
              <w:rPr>
                <w:rFonts w:cs="Arial"/>
                <w:sz w:val="22"/>
                <w:szCs w:val="22"/>
              </w:rPr>
              <w:t>Bedford Hospital</w:t>
            </w:r>
          </w:p>
          <w:p w:rsidR="005A692C" w:rsidRDefault="005A692C">
            <w:pPr>
              <w:spacing w:line="276" w:lineRule="auto"/>
              <w:ind w:left="-108"/>
              <w:jc w:val="both"/>
              <w:rPr>
                <w:rFonts w:cs="Arial"/>
                <w:lang w:val="en-US" w:eastAsia="en-US"/>
              </w:rPr>
            </w:pPr>
          </w:p>
        </w:tc>
      </w:tr>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jc w:val="both"/>
              <w:rPr>
                <w:rFonts w:cs="Arial"/>
                <w:b/>
                <w:lang w:val="en-US"/>
              </w:rPr>
            </w:pPr>
            <w:r>
              <w:rPr>
                <w:rFonts w:cs="Arial"/>
                <w:b/>
                <w:sz w:val="22"/>
                <w:szCs w:val="22"/>
              </w:rPr>
              <w:t>Clinical Supervisor(s) for the placement</w:t>
            </w:r>
          </w:p>
          <w:p w:rsidR="005A692C" w:rsidRDefault="005A692C">
            <w:pPr>
              <w:spacing w:line="276" w:lineRule="auto"/>
              <w:jc w:val="both"/>
              <w:rPr>
                <w:rFonts w:cs="Arial"/>
                <w:b/>
                <w:lang w:val="en-US" w:eastAsia="en-US"/>
              </w:rPr>
            </w:pPr>
          </w:p>
        </w:tc>
        <w:tc>
          <w:tcPr>
            <w:tcW w:w="4961" w:type="dxa"/>
            <w:tcBorders>
              <w:top w:val="single" w:sz="4" w:space="0" w:color="auto"/>
              <w:left w:val="single" w:sz="4" w:space="0" w:color="auto"/>
              <w:bottom w:val="single" w:sz="4" w:space="0" w:color="auto"/>
              <w:right w:val="single" w:sz="4" w:space="0" w:color="auto"/>
            </w:tcBorders>
            <w:hideMark/>
          </w:tcPr>
          <w:p w:rsidR="005A692C" w:rsidRDefault="005A692C">
            <w:pPr>
              <w:spacing w:line="276" w:lineRule="auto"/>
              <w:jc w:val="both"/>
              <w:rPr>
                <w:rFonts w:cs="Arial"/>
                <w:lang w:val="en-US" w:eastAsia="en-US"/>
              </w:rPr>
            </w:pPr>
            <w:r>
              <w:rPr>
                <w:rFonts w:cs="Arial"/>
              </w:rPr>
              <w:t xml:space="preserve">Dr R </w:t>
            </w:r>
            <w:proofErr w:type="spellStart"/>
            <w:r>
              <w:rPr>
                <w:rFonts w:cs="Arial"/>
              </w:rPr>
              <w:t>Harvey,Dr</w:t>
            </w:r>
            <w:proofErr w:type="spellEnd"/>
            <w:r>
              <w:rPr>
                <w:rFonts w:cs="Arial"/>
              </w:rPr>
              <w:t xml:space="preserve"> J </w:t>
            </w:r>
            <w:proofErr w:type="spellStart"/>
            <w:r>
              <w:rPr>
                <w:rFonts w:cs="Arial"/>
              </w:rPr>
              <w:t>Harvey,Dr</w:t>
            </w:r>
            <w:proofErr w:type="spellEnd"/>
            <w:r>
              <w:rPr>
                <w:rFonts w:cs="Arial"/>
              </w:rPr>
              <w:t xml:space="preserve"> A Day and Dr Musa</w:t>
            </w:r>
          </w:p>
        </w:tc>
      </w:tr>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hideMark/>
          </w:tcPr>
          <w:p w:rsidR="005A692C" w:rsidRDefault="005A692C">
            <w:pPr>
              <w:spacing w:line="276" w:lineRule="auto"/>
              <w:rPr>
                <w:rFonts w:cs="Arial"/>
                <w:b/>
                <w:lang w:val="en-US" w:eastAsia="en-US"/>
              </w:rPr>
            </w:pPr>
            <w:r>
              <w:rPr>
                <w:rFonts w:cs="Arial"/>
                <w:b/>
                <w:sz w:val="22"/>
                <w:szCs w:val="22"/>
              </w:rPr>
              <w:t>Main duties of the placement</w:t>
            </w:r>
          </w:p>
        </w:tc>
        <w:tc>
          <w:tcPr>
            <w:tcW w:w="4961"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rPr>
                <w:rFonts w:cs="Arial"/>
                <w:lang w:val="en-US"/>
              </w:rPr>
            </w:pPr>
            <w:r>
              <w:rPr>
                <w:rFonts w:cs="Arial"/>
                <w:sz w:val="22"/>
                <w:szCs w:val="22"/>
              </w:rPr>
              <w:t>The FY1 is expected to deliver the medical care for the patients that they are responsible for and carry out all appropriate documentation. There will be a share of Discharge letters and DTOs, as well as VTE assessments etc.</w:t>
            </w:r>
          </w:p>
          <w:p w:rsidR="005A692C" w:rsidRDefault="005A692C">
            <w:pPr>
              <w:spacing w:line="276" w:lineRule="auto"/>
              <w:jc w:val="both"/>
              <w:rPr>
                <w:rFonts w:cs="Arial"/>
                <w:lang w:val="en-US" w:eastAsia="en-US"/>
              </w:rPr>
            </w:pPr>
          </w:p>
        </w:tc>
      </w:tr>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hideMark/>
          </w:tcPr>
          <w:p w:rsidR="005A692C" w:rsidRDefault="005A692C">
            <w:pPr>
              <w:spacing w:line="276" w:lineRule="auto"/>
              <w:jc w:val="both"/>
              <w:rPr>
                <w:rFonts w:cs="Arial"/>
                <w:b/>
                <w:lang w:val="en-US" w:eastAsia="en-US"/>
              </w:rPr>
            </w:pPr>
            <w:r>
              <w:rPr>
                <w:rFonts w:cs="Arial"/>
                <w:b/>
                <w:sz w:val="22"/>
                <w:szCs w:val="22"/>
              </w:rPr>
              <w:t>Typical working pattern in this placement</w:t>
            </w:r>
          </w:p>
        </w:tc>
        <w:tc>
          <w:tcPr>
            <w:tcW w:w="4961"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rPr>
                <w:rFonts w:cs="Arial"/>
                <w:lang w:val="en-US"/>
              </w:rPr>
            </w:pPr>
            <w:r>
              <w:rPr>
                <w:rFonts w:cs="Arial"/>
                <w:sz w:val="22"/>
                <w:szCs w:val="22"/>
              </w:rPr>
              <w:t xml:space="preserve">08.30 to 17.30 Week days. </w:t>
            </w:r>
          </w:p>
          <w:p w:rsidR="005A692C" w:rsidRDefault="005A692C">
            <w:pPr>
              <w:spacing w:line="276" w:lineRule="auto"/>
              <w:rPr>
                <w:rFonts w:cs="Arial"/>
              </w:rPr>
            </w:pPr>
            <w:r>
              <w:rPr>
                <w:rFonts w:cs="Arial"/>
                <w:sz w:val="22"/>
                <w:szCs w:val="22"/>
              </w:rPr>
              <w:t>21:00 to 09:00 Week nights</w:t>
            </w:r>
          </w:p>
          <w:p w:rsidR="005A692C" w:rsidRDefault="005A692C">
            <w:pPr>
              <w:spacing w:line="276" w:lineRule="auto"/>
              <w:rPr>
                <w:rFonts w:cs="Arial"/>
              </w:rPr>
            </w:pPr>
            <w:r>
              <w:rPr>
                <w:rFonts w:cs="Arial"/>
                <w:sz w:val="22"/>
                <w:szCs w:val="22"/>
              </w:rPr>
              <w:t>09:00 to 21:00 Weekends</w:t>
            </w:r>
          </w:p>
          <w:p w:rsidR="005A692C" w:rsidRDefault="005A692C">
            <w:pPr>
              <w:spacing w:line="276" w:lineRule="auto"/>
              <w:rPr>
                <w:rFonts w:cs="Arial"/>
              </w:rPr>
            </w:pPr>
            <w:r>
              <w:rPr>
                <w:rFonts w:cs="Arial"/>
                <w:sz w:val="22"/>
                <w:szCs w:val="22"/>
              </w:rPr>
              <w:t>1:8 EWD compliant.</w:t>
            </w:r>
          </w:p>
          <w:p w:rsidR="005A692C" w:rsidRDefault="005A692C">
            <w:pPr>
              <w:spacing w:line="276" w:lineRule="auto"/>
              <w:rPr>
                <w:rFonts w:cs="Arial"/>
                <w:lang w:val="en-US" w:eastAsia="en-US"/>
              </w:rPr>
            </w:pPr>
          </w:p>
        </w:tc>
      </w:tr>
      <w:tr w:rsidR="005A692C" w:rsidTr="005A692C">
        <w:trPr>
          <w:trHeight w:val="144"/>
        </w:trPr>
        <w:tc>
          <w:tcPr>
            <w:tcW w:w="3510" w:type="dxa"/>
            <w:tcBorders>
              <w:top w:val="single" w:sz="4" w:space="0" w:color="auto"/>
              <w:left w:val="single" w:sz="4" w:space="0" w:color="auto"/>
              <w:bottom w:val="single" w:sz="4" w:space="0" w:color="auto"/>
              <w:right w:val="single" w:sz="4" w:space="0" w:color="auto"/>
            </w:tcBorders>
          </w:tcPr>
          <w:p w:rsidR="005A692C" w:rsidRDefault="005A692C">
            <w:pPr>
              <w:spacing w:line="276" w:lineRule="auto"/>
              <w:rPr>
                <w:rFonts w:cs="Arial"/>
                <w:b/>
                <w:lang w:val="en-US"/>
              </w:rPr>
            </w:pPr>
          </w:p>
          <w:p w:rsidR="005A692C" w:rsidRDefault="005A692C">
            <w:pPr>
              <w:spacing w:line="276" w:lineRule="auto"/>
              <w:rPr>
                <w:rFonts w:cs="Arial"/>
                <w:b/>
                <w:lang w:val="en-US" w:eastAsia="en-US"/>
              </w:rPr>
            </w:pPr>
            <w:r>
              <w:rPr>
                <w:rFonts w:cs="Arial"/>
                <w:b/>
                <w:sz w:val="22"/>
                <w:szCs w:val="22"/>
              </w:rPr>
              <w:t>Employer information</w:t>
            </w:r>
          </w:p>
        </w:tc>
        <w:tc>
          <w:tcPr>
            <w:tcW w:w="4961" w:type="dxa"/>
            <w:tcBorders>
              <w:top w:val="single" w:sz="4" w:space="0" w:color="auto"/>
              <w:left w:val="single" w:sz="4" w:space="0" w:color="auto"/>
              <w:bottom w:val="single" w:sz="4" w:space="0" w:color="auto"/>
              <w:right w:val="single" w:sz="4" w:space="0" w:color="auto"/>
            </w:tcBorders>
          </w:tcPr>
          <w:p w:rsidR="005A692C" w:rsidRDefault="005A692C">
            <w:pPr>
              <w:pStyle w:val="BodyText"/>
              <w:spacing w:line="276" w:lineRule="auto"/>
              <w:rPr>
                <w:rFonts w:ascii="Arial" w:hAnsi="Arial" w:cs="Arial"/>
                <w:szCs w:val="22"/>
              </w:rPr>
            </w:pPr>
          </w:p>
          <w:p w:rsidR="005A692C" w:rsidRDefault="005A692C">
            <w:pPr>
              <w:pStyle w:val="BodyText"/>
              <w:spacing w:line="276" w:lineRule="auto"/>
              <w:jc w:val="left"/>
              <w:rPr>
                <w:rFonts w:ascii="Arial" w:hAnsi="Arial" w:cs="Arial"/>
                <w:szCs w:val="22"/>
              </w:rPr>
            </w:pPr>
            <w:r>
              <w:rPr>
                <w:rFonts w:ascii="Arial" w:hAnsi="Arial" w:cs="Arial"/>
                <w:szCs w:val="22"/>
              </w:rPr>
              <w:t>The employer for this post is Bedford Hospital NHS Trust.</w:t>
            </w:r>
          </w:p>
          <w:p w:rsidR="005A692C" w:rsidRDefault="005A692C">
            <w:pPr>
              <w:pStyle w:val="BodyText"/>
              <w:spacing w:line="276" w:lineRule="auto"/>
              <w:jc w:val="left"/>
              <w:rPr>
                <w:rFonts w:ascii="Arial" w:hAnsi="Arial" w:cs="Arial"/>
                <w:szCs w:val="22"/>
              </w:rPr>
            </w:pPr>
          </w:p>
          <w:p w:rsidR="005A692C" w:rsidRDefault="005A692C">
            <w:pPr>
              <w:pStyle w:val="BodyText"/>
              <w:spacing w:line="276" w:lineRule="auto"/>
              <w:jc w:val="left"/>
              <w:rPr>
                <w:rFonts w:ascii="Arial" w:hAnsi="Arial" w:cs="Arial"/>
                <w:szCs w:val="22"/>
              </w:rPr>
            </w:pPr>
          </w:p>
          <w:p w:rsidR="005A692C" w:rsidRDefault="005A692C">
            <w:pPr>
              <w:pStyle w:val="BodyText"/>
              <w:spacing w:line="276" w:lineRule="auto"/>
              <w:rPr>
                <w:rFonts w:ascii="Arial" w:hAnsi="Arial" w:cs="Arial"/>
                <w:szCs w:val="22"/>
              </w:rPr>
            </w:pPr>
            <w:r>
              <w:rPr>
                <w:rFonts w:ascii="Arial" w:hAnsi="Arial" w:cs="Arial"/>
                <w:szCs w:val="22"/>
              </w:rPr>
              <w:lastRenderedPageBreak/>
              <w:t>The Trust is a medium sized acute NHS Trust and provides an extensive range of secondary services for the growing local community of approximately 150,000.  A large proportion of the population is over 65 years old and about 30% are Italians.</w:t>
            </w:r>
          </w:p>
        </w:tc>
      </w:tr>
    </w:tbl>
    <w:p w:rsidR="005A692C" w:rsidRDefault="005A692C" w:rsidP="005A692C">
      <w:pPr>
        <w:rPr>
          <w:rFonts w:cs="Arial"/>
          <w:sz w:val="22"/>
          <w:szCs w:val="22"/>
          <w:lang w:val="en-US" w:eastAsia="en-US"/>
        </w:rPr>
      </w:pPr>
    </w:p>
    <w:p w:rsidR="005A692C" w:rsidRDefault="005A692C" w:rsidP="005A692C">
      <w:pPr>
        <w:rPr>
          <w:rFonts w:cs="Arial"/>
          <w:sz w:val="22"/>
          <w:szCs w:val="22"/>
        </w:rPr>
      </w:pPr>
      <w:r>
        <w:rPr>
          <w:rFonts w:cs="Arial"/>
          <w:sz w:val="22"/>
          <w:szCs w:val="22"/>
        </w:rPr>
        <w:t>It is important to note that this description is a typical example of your placement and may be subject to change.</w:t>
      </w:r>
    </w:p>
    <w:p w:rsidR="005A692C" w:rsidRDefault="005A692C" w:rsidP="005A692C">
      <w:pPr>
        <w:rPr>
          <w:rFonts w:ascii="Cambria" w:hAnsi="Cambria"/>
        </w:rPr>
      </w:pPr>
    </w:p>
    <w:p w:rsidR="00DF21D4" w:rsidRPr="005A692C" w:rsidRDefault="00DF21D4" w:rsidP="005A692C"/>
    <w:sectPr w:rsidR="00DF21D4" w:rsidRPr="005A692C"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2"/>
  </w:num>
  <w:num w:numId="10">
    <w:abstractNumId w:val="0"/>
  </w:num>
  <w:num w:numId="11">
    <w:abstractNumId w:val="8"/>
  </w:num>
  <w:num w:numId="12">
    <w:abstractNumId w:val="4"/>
  </w:num>
  <w:num w:numId="13">
    <w:abstractNumId w:val="7"/>
  </w:num>
  <w:num w:numId="14">
    <w:abstractNumId w:val="8"/>
  </w:num>
  <w:num w:numId="15">
    <w:abstractNumId w:val="4"/>
  </w:num>
  <w:num w:numId="16">
    <w:abstractNumId w:val="3"/>
  </w:num>
  <w:num w:numId="17">
    <w:abstractNumId w:val="8"/>
  </w:num>
  <w:num w:numId="18">
    <w:abstractNumId w:val="4"/>
  </w:num>
  <w:num w:numId="19">
    <w:abstractNumId w:val="6"/>
  </w:num>
  <w:num w:numId="2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520AB"/>
    <w:rsid w:val="00363F01"/>
    <w:rsid w:val="003963AC"/>
    <w:rsid w:val="00472B89"/>
    <w:rsid w:val="00495A12"/>
    <w:rsid w:val="005966EF"/>
    <w:rsid w:val="005A692C"/>
    <w:rsid w:val="005F73FC"/>
    <w:rsid w:val="007950BD"/>
    <w:rsid w:val="007D3008"/>
    <w:rsid w:val="00803B90"/>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2016-09-22T09:08:00Z</dcterms:created>
  <dcterms:modified xsi:type="dcterms:W3CDTF">2016-09-22T09:08:00Z</dcterms:modified>
</cp:coreProperties>
</file>