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DE" w:rsidRDefault="00552ADE" w:rsidP="00552ADE">
      <w:pPr>
        <w:tabs>
          <w:tab w:val="center" w:pos="5040"/>
          <w:tab w:val="right" w:pos="9900"/>
        </w:tabs>
      </w:pPr>
      <w:r>
        <w:t xml:space="preserve"> </w:t>
      </w:r>
      <w:r>
        <w:tab/>
      </w:r>
      <w:r>
        <w:tab/>
      </w:r>
      <w:bookmarkStart w:id="0" w:name="_GoBack"/>
      <w:bookmarkEnd w:id="0"/>
    </w:p>
    <w:p w:rsidR="00552ADE" w:rsidRDefault="00552ADE" w:rsidP="00552ADE">
      <w:pPr>
        <w:jc w:val="center"/>
        <w:rPr>
          <w:rFonts w:cs="Arial"/>
          <w:b/>
          <w:sz w:val="28"/>
          <w:szCs w:val="28"/>
        </w:rPr>
      </w:pPr>
    </w:p>
    <w:p w:rsidR="00552ADE" w:rsidRPr="002C3834" w:rsidRDefault="00552ADE" w:rsidP="00552ADE">
      <w:pPr>
        <w:jc w:val="center"/>
        <w:rPr>
          <w:rFonts w:cs="Arial"/>
          <w:b/>
          <w:sz w:val="28"/>
          <w:szCs w:val="28"/>
        </w:rPr>
      </w:pPr>
      <w:smartTag w:uri="urn:schemas-microsoft-com:office:smarttags" w:element="place">
        <w:smartTag w:uri="urn:schemas-microsoft-com:office:smarttags" w:element="PlaceName">
          <w:r>
            <w:rPr>
              <w:rFonts w:cs="Arial"/>
              <w:b/>
              <w:sz w:val="28"/>
              <w:szCs w:val="28"/>
            </w:rPr>
            <w:t>East Anglia</w:t>
          </w:r>
        </w:smartTag>
        <w:r>
          <w:rPr>
            <w:rFonts w:cs="Arial"/>
            <w:b/>
            <w:sz w:val="28"/>
            <w:szCs w:val="28"/>
          </w:rPr>
          <w:t xml:space="preserve"> </w:t>
        </w:r>
        <w:smartTag w:uri="urn:schemas-microsoft-com:office:smarttags" w:element="PlaceName">
          <w:r w:rsidRPr="002C3834">
            <w:rPr>
              <w:rFonts w:cs="Arial"/>
              <w:b/>
              <w:sz w:val="28"/>
              <w:szCs w:val="28"/>
            </w:rPr>
            <w:t>Foundation</w:t>
          </w:r>
        </w:smartTag>
        <w:r w:rsidRPr="002C3834">
          <w:rPr>
            <w:rFonts w:cs="Arial"/>
            <w:b/>
            <w:sz w:val="28"/>
            <w:szCs w:val="28"/>
          </w:rPr>
          <w:t xml:space="preserve"> </w:t>
        </w:r>
        <w:smartTag w:uri="urn:schemas-microsoft-com:office:smarttags" w:element="PlaceType">
          <w:r w:rsidRPr="002C3834">
            <w:rPr>
              <w:rFonts w:cs="Arial"/>
              <w:b/>
              <w:sz w:val="28"/>
              <w:szCs w:val="28"/>
            </w:rPr>
            <w:t>School</w:t>
          </w:r>
        </w:smartTag>
      </w:smartTag>
    </w:p>
    <w:p w:rsidR="00552ADE" w:rsidRDefault="00552ADE" w:rsidP="00552ADE">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552ADE" w:rsidRDefault="00552ADE" w:rsidP="00552ADE">
      <w:pPr>
        <w:jc w:val="center"/>
        <w:rPr>
          <w:rFonts w:cs="Arial"/>
          <w:b/>
          <w:sz w:val="28"/>
          <w:szCs w:val="28"/>
        </w:rPr>
      </w:pPr>
    </w:p>
    <w:p w:rsidR="00552ADE" w:rsidRPr="002C3834" w:rsidRDefault="00552ADE" w:rsidP="00552ADE">
      <w:pPr>
        <w:jc w:val="center"/>
        <w:rPr>
          <w:rFonts w:cs="Arial"/>
          <w:b/>
          <w:sz w:val="28"/>
          <w:szCs w:val="28"/>
        </w:rPr>
      </w:pPr>
      <w:smartTag w:uri="urn:schemas-microsoft-com:office:smarttags" w:element="place">
        <w:smartTag w:uri="urn:schemas-microsoft-com:office:smarttags" w:element="PlaceName">
          <w:r>
            <w:rPr>
              <w:rFonts w:cs="Arial"/>
              <w:b/>
              <w:sz w:val="28"/>
              <w:szCs w:val="28"/>
            </w:rPr>
            <w:t>Ipswich</w:t>
          </w:r>
        </w:smartTag>
        <w:r>
          <w:rPr>
            <w:rFonts w:cs="Arial"/>
            <w:b/>
            <w:sz w:val="28"/>
            <w:szCs w:val="28"/>
          </w:rPr>
          <w:t xml:space="preserve"> </w:t>
        </w:r>
        <w:smartTag w:uri="urn:schemas-microsoft-com:office:smarttags" w:element="PlaceType">
          <w:r>
            <w:rPr>
              <w:rFonts w:cs="Arial"/>
              <w:b/>
              <w:sz w:val="28"/>
              <w:szCs w:val="28"/>
            </w:rPr>
            <w:t>Hospital</w:t>
          </w:r>
        </w:smartTag>
      </w:smartTag>
      <w:r>
        <w:rPr>
          <w:rFonts w:cs="Arial"/>
          <w:b/>
          <w:sz w:val="28"/>
          <w:szCs w:val="28"/>
        </w:rPr>
        <w:t xml:space="preserve"> NHS Trust</w:t>
      </w:r>
    </w:p>
    <w:p w:rsidR="00552ADE" w:rsidRDefault="00552ADE" w:rsidP="00552ADE">
      <w:pPr>
        <w:rPr>
          <w:rFonts w:cs="Arial"/>
          <w:b/>
          <w:sz w:val="22"/>
          <w:szCs w:val="22"/>
        </w:rPr>
      </w:pPr>
    </w:p>
    <w:p w:rsidR="00552ADE" w:rsidRPr="0043462B" w:rsidRDefault="00552ADE" w:rsidP="00552ADE">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552ADE" w:rsidRDefault="00552ADE" w:rsidP="00552ADE">
      <w:pPr>
        <w:rPr>
          <w:rFonts w:cs="Arial"/>
          <w:b/>
          <w:sz w:val="22"/>
          <w:szCs w:val="22"/>
        </w:rPr>
      </w:pPr>
    </w:p>
    <w:tbl>
      <w:tblPr>
        <w:tblW w:w="8028" w:type="dxa"/>
        <w:tblLook w:val="01E0" w:firstRow="1" w:lastRow="1" w:firstColumn="1" w:lastColumn="1" w:noHBand="0" w:noVBand="0"/>
      </w:tblPr>
      <w:tblGrid>
        <w:gridCol w:w="3851"/>
        <w:gridCol w:w="4177"/>
      </w:tblGrid>
      <w:tr w:rsidR="00552ADE" w:rsidRPr="004F4EE0" w:rsidTr="0069317B">
        <w:trPr>
          <w:trHeight w:val="144"/>
        </w:trPr>
        <w:tc>
          <w:tcPr>
            <w:tcW w:w="3851" w:type="dxa"/>
          </w:tcPr>
          <w:p w:rsidR="00552ADE" w:rsidRPr="004F4EE0" w:rsidRDefault="00552ADE" w:rsidP="0069317B">
            <w:pPr>
              <w:jc w:val="both"/>
              <w:rPr>
                <w:rFonts w:cs="Arial"/>
                <w:b/>
              </w:rPr>
            </w:pPr>
            <w:r>
              <w:rPr>
                <w:rFonts w:cs="Arial"/>
                <w:b/>
                <w:sz w:val="22"/>
                <w:szCs w:val="22"/>
              </w:rPr>
              <w:t>Placement</w:t>
            </w:r>
          </w:p>
        </w:tc>
        <w:tc>
          <w:tcPr>
            <w:tcW w:w="4177" w:type="dxa"/>
          </w:tcPr>
          <w:p w:rsidR="00552ADE" w:rsidRPr="00F909C5" w:rsidRDefault="00552ADE" w:rsidP="0069317B">
            <w:pPr>
              <w:jc w:val="both"/>
              <w:rPr>
                <w:rFonts w:cs="Arial"/>
              </w:rPr>
            </w:pPr>
            <w:r>
              <w:rPr>
                <w:rFonts w:cs="Arial"/>
              </w:rPr>
              <w:t>Medical Assessment Unit (</w:t>
            </w:r>
            <w:proofErr w:type="spellStart"/>
            <w:r>
              <w:rPr>
                <w:rFonts w:cs="Arial"/>
              </w:rPr>
              <w:t>Brantham</w:t>
            </w:r>
            <w:proofErr w:type="spellEnd"/>
            <w:r>
              <w:rPr>
                <w:rFonts w:cs="Arial"/>
              </w:rPr>
              <w:t>) and Medical Short Stay Ward (Capel)</w:t>
            </w:r>
          </w:p>
        </w:tc>
      </w:tr>
      <w:tr w:rsidR="00552ADE" w:rsidRPr="004F4EE0" w:rsidTr="0069317B">
        <w:trPr>
          <w:trHeight w:val="144"/>
        </w:trPr>
        <w:tc>
          <w:tcPr>
            <w:tcW w:w="3851" w:type="dxa"/>
          </w:tcPr>
          <w:p w:rsidR="00552ADE" w:rsidRDefault="00552ADE" w:rsidP="0069317B">
            <w:pPr>
              <w:rPr>
                <w:rFonts w:cs="Arial"/>
                <w:b/>
              </w:rPr>
            </w:pPr>
            <w:r>
              <w:rPr>
                <w:rFonts w:cs="Arial"/>
                <w:b/>
                <w:sz w:val="22"/>
                <w:szCs w:val="22"/>
              </w:rPr>
              <w:t>The department</w:t>
            </w:r>
          </w:p>
        </w:tc>
        <w:tc>
          <w:tcPr>
            <w:tcW w:w="4177" w:type="dxa"/>
          </w:tcPr>
          <w:p w:rsidR="00552ADE" w:rsidRPr="00F909C5" w:rsidRDefault="00552ADE" w:rsidP="0069317B">
            <w:pPr>
              <w:rPr>
                <w:rFonts w:cs="Arial"/>
              </w:rPr>
            </w:pPr>
          </w:p>
          <w:p w:rsidR="00552ADE" w:rsidRDefault="00552ADE" w:rsidP="0069317B">
            <w:pPr>
              <w:rPr>
                <w:rFonts w:cs="Arial"/>
              </w:rPr>
            </w:pPr>
            <w:r>
              <w:rPr>
                <w:rFonts w:cs="Arial"/>
              </w:rPr>
              <w:t>Acute Medicine</w:t>
            </w:r>
          </w:p>
          <w:p w:rsidR="00552ADE" w:rsidRPr="00F909C5" w:rsidRDefault="00552ADE" w:rsidP="0069317B">
            <w:pPr>
              <w:rPr>
                <w:rFonts w:cs="Arial"/>
              </w:rPr>
            </w:pPr>
            <w:r>
              <w:rPr>
                <w:rFonts w:cs="Arial"/>
              </w:rPr>
              <w:t>Comprises of 5 Consultants,2 FY1 doctors, 1 ACCs trainee, 3-4 Acute Medicine Registrars, 1 fulltime administrator and 1 part-time administrator</w:t>
            </w:r>
          </w:p>
        </w:tc>
      </w:tr>
      <w:tr w:rsidR="00552ADE" w:rsidRPr="004F4EE0" w:rsidTr="0069317B">
        <w:trPr>
          <w:trHeight w:val="144"/>
        </w:trPr>
        <w:tc>
          <w:tcPr>
            <w:tcW w:w="3851" w:type="dxa"/>
          </w:tcPr>
          <w:p w:rsidR="00552ADE" w:rsidRPr="00047073" w:rsidRDefault="00552ADE" w:rsidP="0069317B">
            <w:pPr>
              <w:rPr>
                <w:rFonts w:cs="Arial"/>
                <w:b/>
              </w:rPr>
            </w:pPr>
            <w:r>
              <w:rPr>
                <w:rFonts w:cs="Arial"/>
                <w:b/>
                <w:sz w:val="22"/>
                <w:szCs w:val="22"/>
              </w:rPr>
              <w:t>The type of work to expect and learning opportunities</w:t>
            </w:r>
          </w:p>
        </w:tc>
        <w:tc>
          <w:tcPr>
            <w:tcW w:w="4177" w:type="dxa"/>
          </w:tcPr>
          <w:p w:rsidR="00552ADE" w:rsidRDefault="00552ADE" w:rsidP="00552ADE">
            <w:pPr>
              <w:numPr>
                <w:ilvl w:val="0"/>
                <w:numId w:val="22"/>
              </w:numPr>
              <w:rPr>
                <w:rFonts w:cs="Arial"/>
              </w:rPr>
            </w:pPr>
            <w:r>
              <w:rPr>
                <w:rFonts w:cs="Arial"/>
              </w:rPr>
              <w:t xml:space="preserve">Day on-call on the assessment unit (1 in 10-12) involves: ‘clerking’ medical patients with a view to formulating rational acute and long-term management plans under the supervision of Medical Registrars and Consultants; being a part of the cardiac arrest team; and getting involved in common bedside procedures such as venepuncture, arterial puncture, urinary </w:t>
            </w:r>
            <w:proofErr w:type="spellStart"/>
            <w:r>
              <w:rPr>
                <w:rFonts w:cs="Arial"/>
              </w:rPr>
              <w:t>catherterisation</w:t>
            </w:r>
            <w:proofErr w:type="spellEnd"/>
            <w:r>
              <w:rPr>
                <w:rFonts w:cs="Arial"/>
              </w:rPr>
              <w:t>, lumbar puncture, chest drain insertion and abdominal paracentesis.</w:t>
            </w:r>
          </w:p>
          <w:p w:rsidR="00552ADE" w:rsidRDefault="00552ADE" w:rsidP="00552ADE">
            <w:pPr>
              <w:numPr>
                <w:ilvl w:val="0"/>
                <w:numId w:val="22"/>
              </w:numPr>
              <w:rPr>
                <w:rFonts w:cs="Arial"/>
              </w:rPr>
            </w:pPr>
            <w:r>
              <w:rPr>
                <w:rFonts w:cs="Arial"/>
              </w:rPr>
              <w:t>Short stay medical ward placement, on all other days when not on- call, offers an opportunity to: get used to a ‘medical ward round’ routine as supervised by the Medical Registrar and Consultant; follow up and act upon the investigations requested at the Consultant ward round ; and get involved in the discharge planning process.</w:t>
            </w:r>
          </w:p>
          <w:p w:rsidR="00552ADE" w:rsidRDefault="00552ADE" w:rsidP="00552ADE">
            <w:pPr>
              <w:numPr>
                <w:ilvl w:val="0"/>
                <w:numId w:val="22"/>
              </w:numPr>
              <w:rPr>
                <w:rFonts w:cs="Arial"/>
              </w:rPr>
            </w:pPr>
            <w:r>
              <w:rPr>
                <w:rFonts w:cs="Arial"/>
              </w:rPr>
              <w:t xml:space="preserve">South cover or twilight </w:t>
            </w:r>
            <w:r>
              <w:rPr>
                <w:rFonts w:cs="Arial"/>
              </w:rPr>
              <w:lastRenderedPageBreak/>
              <w:t>medical ward cover (1 in 10-12) offers the opportunity to deal with the medically ill patients first-hand and then to liaise with the medical Registrar.</w:t>
            </w:r>
          </w:p>
          <w:p w:rsidR="00552ADE" w:rsidRPr="00F909C5" w:rsidRDefault="00552ADE" w:rsidP="00552ADE">
            <w:pPr>
              <w:numPr>
                <w:ilvl w:val="0"/>
                <w:numId w:val="22"/>
              </w:numPr>
              <w:rPr>
                <w:rFonts w:cs="Arial"/>
              </w:rPr>
            </w:pPr>
            <w:smartTag w:uri="urn:schemas-microsoft-com:office:smarttags" w:element="place">
              <w:r>
                <w:rPr>
                  <w:rFonts w:cs="Arial"/>
                </w:rPr>
                <w:t>Opportunity</w:t>
              </w:r>
            </w:smartTag>
            <w:r>
              <w:rPr>
                <w:rFonts w:cs="Arial"/>
              </w:rPr>
              <w:t xml:space="preserve"> to get involved in the Acute Medical case presentation once a month and any on-going audit.</w:t>
            </w:r>
          </w:p>
          <w:p w:rsidR="00552ADE" w:rsidRPr="00F909C5" w:rsidRDefault="00552ADE" w:rsidP="0069317B">
            <w:pPr>
              <w:rPr>
                <w:rFonts w:cs="Arial"/>
              </w:rPr>
            </w:pPr>
          </w:p>
        </w:tc>
      </w:tr>
      <w:tr w:rsidR="00552ADE" w:rsidRPr="004F4EE0" w:rsidTr="0069317B">
        <w:trPr>
          <w:trHeight w:val="144"/>
        </w:trPr>
        <w:tc>
          <w:tcPr>
            <w:tcW w:w="3851" w:type="dxa"/>
          </w:tcPr>
          <w:p w:rsidR="00552ADE" w:rsidRPr="004F4EE0" w:rsidRDefault="00552ADE" w:rsidP="0069317B">
            <w:pPr>
              <w:jc w:val="both"/>
              <w:rPr>
                <w:rFonts w:cs="Arial"/>
                <w:b/>
              </w:rPr>
            </w:pPr>
            <w:r>
              <w:rPr>
                <w:rFonts w:cs="Arial"/>
                <w:b/>
                <w:sz w:val="22"/>
                <w:szCs w:val="22"/>
              </w:rPr>
              <w:lastRenderedPageBreak/>
              <w:t>Where the placement is based</w:t>
            </w:r>
          </w:p>
        </w:tc>
        <w:tc>
          <w:tcPr>
            <w:tcW w:w="4177" w:type="dxa"/>
          </w:tcPr>
          <w:p w:rsidR="00552ADE" w:rsidRPr="00F909C5" w:rsidRDefault="00552ADE" w:rsidP="0069317B">
            <w:pPr>
              <w:jc w:val="both"/>
              <w:rPr>
                <w:rFonts w:cs="Arial"/>
              </w:rPr>
            </w:pPr>
            <w:r>
              <w:rPr>
                <w:rFonts w:cs="Arial"/>
              </w:rPr>
              <w:t>Medical Assessment Unit (</w:t>
            </w:r>
            <w:proofErr w:type="spellStart"/>
            <w:r>
              <w:rPr>
                <w:rFonts w:cs="Arial"/>
              </w:rPr>
              <w:t>Brantham</w:t>
            </w:r>
            <w:proofErr w:type="spellEnd"/>
            <w:r>
              <w:rPr>
                <w:rFonts w:cs="Arial"/>
              </w:rPr>
              <w:t xml:space="preserve">) and Medical Short Stay Ward (Capel), The </w:t>
            </w:r>
            <w:smartTag w:uri="urn:schemas-microsoft-com:office:smarttags" w:element="place">
              <w:smartTag w:uri="urn:schemas-microsoft-com:office:smarttags" w:element="PlaceName">
                <w:r>
                  <w:rPr>
                    <w:rFonts w:cs="Arial"/>
                  </w:rPr>
                  <w:t>Ipswich</w:t>
                </w:r>
              </w:smartTag>
              <w:r>
                <w:rPr>
                  <w:rFonts w:cs="Arial"/>
                </w:rPr>
                <w:t xml:space="preserve"> </w:t>
              </w:r>
              <w:smartTag w:uri="urn:schemas-microsoft-com:office:smarttags" w:element="PlaceType">
                <w:r>
                  <w:rPr>
                    <w:rFonts w:cs="Arial"/>
                  </w:rPr>
                  <w:t>Hospital</w:t>
                </w:r>
              </w:smartTag>
            </w:smartTag>
            <w:r>
              <w:rPr>
                <w:rFonts w:cs="Arial"/>
              </w:rPr>
              <w:t xml:space="preserve"> NHS Trust</w:t>
            </w:r>
          </w:p>
          <w:p w:rsidR="00552ADE" w:rsidRPr="00F909C5" w:rsidRDefault="00552ADE" w:rsidP="0069317B">
            <w:pPr>
              <w:jc w:val="both"/>
              <w:rPr>
                <w:rFonts w:cs="Arial"/>
              </w:rPr>
            </w:pPr>
          </w:p>
        </w:tc>
      </w:tr>
      <w:tr w:rsidR="00552ADE" w:rsidRPr="004F4EE0" w:rsidTr="0069317B">
        <w:trPr>
          <w:trHeight w:val="144"/>
        </w:trPr>
        <w:tc>
          <w:tcPr>
            <w:tcW w:w="3851" w:type="dxa"/>
          </w:tcPr>
          <w:p w:rsidR="00552ADE" w:rsidRDefault="00552ADE" w:rsidP="0069317B">
            <w:pPr>
              <w:jc w:val="both"/>
              <w:rPr>
                <w:rFonts w:cs="Arial"/>
                <w:b/>
              </w:rPr>
            </w:pPr>
            <w:r>
              <w:rPr>
                <w:rFonts w:cs="Arial"/>
                <w:b/>
                <w:sz w:val="22"/>
                <w:szCs w:val="22"/>
              </w:rPr>
              <w:t>Clinical Supervisor(s) for the placement</w:t>
            </w:r>
          </w:p>
        </w:tc>
        <w:tc>
          <w:tcPr>
            <w:tcW w:w="4177" w:type="dxa"/>
          </w:tcPr>
          <w:p w:rsidR="00552ADE" w:rsidRPr="00F909C5" w:rsidRDefault="00552ADE" w:rsidP="0069317B">
            <w:pPr>
              <w:jc w:val="both"/>
              <w:rPr>
                <w:rFonts w:cs="Arial"/>
              </w:rPr>
            </w:pPr>
            <w:proofErr w:type="spellStart"/>
            <w:r>
              <w:rPr>
                <w:rFonts w:cs="Arial"/>
                <w:sz w:val="22"/>
                <w:szCs w:val="22"/>
              </w:rPr>
              <w:t>Dr.Nicola</w:t>
            </w:r>
            <w:proofErr w:type="spellEnd"/>
            <w:r>
              <w:rPr>
                <w:rFonts w:cs="Arial"/>
                <w:sz w:val="22"/>
                <w:szCs w:val="22"/>
              </w:rPr>
              <w:t xml:space="preserve"> </w:t>
            </w:r>
            <w:proofErr w:type="spellStart"/>
            <w:r>
              <w:rPr>
                <w:rFonts w:cs="Arial"/>
                <w:sz w:val="22"/>
                <w:szCs w:val="22"/>
              </w:rPr>
              <w:t>Trepte</w:t>
            </w:r>
            <w:proofErr w:type="spellEnd"/>
            <w:r>
              <w:rPr>
                <w:rFonts w:cs="Arial"/>
                <w:sz w:val="22"/>
                <w:szCs w:val="22"/>
              </w:rPr>
              <w:t xml:space="preserve">, </w:t>
            </w:r>
            <w:proofErr w:type="spellStart"/>
            <w:r>
              <w:rPr>
                <w:rFonts w:cs="Arial"/>
                <w:sz w:val="22"/>
                <w:szCs w:val="22"/>
              </w:rPr>
              <w:t>Dr.Robert</w:t>
            </w:r>
            <w:proofErr w:type="spellEnd"/>
            <w:r>
              <w:rPr>
                <w:rFonts w:cs="Arial"/>
                <w:sz w:val="22"/>
                <w:szCs w:val="22"/>
              </w:rPr>
              <w:t xml:space="preserve"> </w:t>
            </w:r>
            <w:proofErr w:type="spellStart"/>
            <w:r>
              <w:rPr>
                <w:rFonts w:cs="Arial"/>
                <w:sz w:val="22"/>
                <w:szCs w:val="22"/>
              </w:rPr>
              <w:t>Mallinson</w:t>
            </w:r>
            <w:proofErr w:type="spellEnd"/>
            <w:r>
              <w:rPr>
                <w:rFonts w:cs="Arial"/>
                <w:sz w:val="22"/>
                <w:szCs w:val="22"/>
              </w:rPr>
              <w:t xml:space="preserve">, </w:t>
            </w:r>
            <w:proofErr w:type="spellStart"/>
            <w:r>
              <w:rPr>
                <w:rFonts w:cs="Arial"/>
                <w:sz w:val="22"/>
                <w:szCs w:val="22"/>
              </w:rPr>
              <w:t>Dr.Jasmine</w:t>
            </w:r>
            <w:proofErr w:type="spellEnd"/>
            <w:r>
              <w:rPr>
                <w:rFonts w:cs="Arial"/>
                <w:sz w:val="22"/>
                <w:szCs w:val="22"/>
              </w:rPr>
              <w:t xml:space="preserve"> Patel, </w:t>
            </w:r>
            <w:proofErr w:type="spellStart"/>
            <w:r>
              <w:rPr>
                <w:rFonts w:cs="Arial"/>
                <w:sz w:val="22"/>
                <w:szCs w:val="22"/>
              </w:rPr>
              <w:t>Dr.</w:t>
            </w:r>
            <w:proofErr w:type="spellEnd"/>
            <w:r>
              <w:rPr>
                <w:rFonts w:cs="Arial"/>
                <w:sz w:val="22"/>
                <w:szCs w:val="22"/>
              </w:rPr>
              <w:t xml:space="preserve"> </w:t>
            </w:r>
            <w:proofErr w:type="spellStart"/>
            <w:r>
              <w:rPr>
                <w:rFonts w:cs="Arial"/>
                <w:sz w:val="22"/>
                <w:szCs w:val="22"/>
              </w:rPr>
              <w:t>Immo</w:t>
            </w:r>
            <w:proofErr w:type="spellEnd"/>
            <w:r>
              <w:rPr>
                <w:rFonts w:cs="Arial"/>
                <w:sz w:val="22"/>
                <w:szCs w:val="22"/>
              </w:rPr>
              <w:t xml:space="preserve"> </w:t>
            </w:r>
            <w:proofErr w:type="spellStart"/>
            <w:r>
              <w:rPr>
                <w:rFonts w:cs="Arial"/>
                <w:sz w:val="22"/>
                <w:szCs w:val="22"/>
              </w:rPr>
              <w:t>Weichert</w:t>
            </w:r>
            <w:proofErr w:type="spellEnd"/>
            <w:r>
              <w:rPr>
                <w:rFonts w:cs="Arial"/>
                <w:sz w:val="22"/>
                <w:szCs w:val="22"/>
              </w:rPr>
              <w:t xml:space="preserve"> and soon </w:t>
            </w:r>
            <w:proofErr w:type="spellStart"/>
            <w:r>
              <w:rPr>
                <w:rFonts w:cs="Arial"/>
                <w:sz w:val="22"/>
                <w:szCs w:val="22"/>
              </w:rPr>
              <w:t>Dr.Venkatesh</w:t>
            </w:r>
            <w:proofErr w:type="spellEnd"/>
            <w:r>
              <w:rPr>
                <w:rFonts w:cs="Arial"/>
                <w:sz w:val="22"/>
                <w:szCs w:val="22"/>
              </w:rPr>
              <w:t xml:space="preserve"> </w:t>
            </w:r>
            <w:proofErr w:type="spellStart"/>
            <w:r>
              <w:rPr>
                <w:rFonts w:cs="Arial"/>
                <w:sz w:val="22"/>
                <w:szCs w:val="22"/>
              </w:rPr>
              <w:t>Babu</w:t>
            </w:r>
            <w:proofErr w:type="spellEnd"/>
          </w:p>
          <w:p w:rsidR="00552ADE" w:rsidRPr="00F909C5" w:rsidRDefault="00552ADE" w:rsidP="0069317B">
            <w:pPr>
              <w:jc w:val="both"/>
              <w:rPr>
                <w:rFonts w:cs="Arial"/>
              </w:rPr>
            </w:pPr>
          </w:p>
        </w:tc>
      </w:tr>
      <w:tr w:rsidR="00552ADE" w:rsidRPr="004F4EE0" w:rsidTr="0069317B">
        <w:trPr>
          <w:trHeight w:val="144"/>
        </w:trPr>
        <w:tc>
          <w:tcPr>
            <w:tcW w:w="3851" w:type="dxa"/>
          </w:tcPr>
          <w:p w:rsidR="00552ADE" w:rsidRDefault="00552ADE" w:rsidP="0069317B">
            <w:pPr>
              <w:rPr>
                <w:rFonts w:cs="Arial"/>
                <w:b/>
              </w:rPr>
            </w:pPr>
            <w:r>
              <w:rPr>
                <w:rFonts w:cs="Arial"/>
                <w:b/>
                <w:sz w:val="22"/>
                <w:szCs w:val="22"/>
              </w:rPr>
              <w:t>Main duties of the placement</w:t>
            </w:r>
          </w:p>
        </w:tc>
        <w:tc>
          <w:tcPr>
            <w:tcW w:w="4177" w:type="dxa"/>
          </w:tcPr>
          <w:p w:rsidR="00552ADE" w:rsidRPr="00F909C5" w:rsidRDefault="00552ADE" w:rsidP="0069317B">
            <w:pPr>
              <w:jc w:val="both"/>
              <w:rPr>
                <w:rFonts w:cs="Arial"/>
              </w:rPr>
            </w:pPr>
            <w:r>
              <w:rPr>
                <w:rFonts w:cs="Arial"/>
              </w:rPr>
              <w:t>As described above</w:t>
            </w:r>
          </w:p>
          <w:p w:rsidR="00552ADE" w:rsidRPr="00F909C5" w:rsidRDefault="00552ADE" w:rsidP="0069317B">
            <w:pPr>
              <w:jc w:val="both"/>
              <w:rPr>
                <w:rFonts w:cs="Arial"/>
              </w:rPr>
            </w:pPr>
          </w:p>
        </w:tc>
      </w:tr>
      <w:tr w:rsidR="00552ADE" w:rsidRPr="004F4EE0" w:rsidTr="0069317B">
        <w:trPr>
          <w:trHeight w:val="144"/>
        </w:trPr>
        <w:tc>
          <w:tcPr>
            <w:tcW w:w="3851" w:type="dxa"/>
          </w:tcPr>
          <w:p w:rsidR="00552ADE" w:rsidRDefault="00552ADE" w:rsidP="0069317B">
            <w:pPr>
              <w:jc w:val="both"/>
              <w:rPr>
                <w:rFonts w:cs="Arial"/>
                <w:b/>
              </w:rPr>
            </w:pPr>
            <w:r>
              <w:rPr>
                <w:rFonts w:cs="Arial"/>
                <w:b/>
                <w:sz w:val="22"/>
                <w:szCs w:val="22"/>
              </w:rPr>
              <w:t>Typical working pattern in this placement</w:t>
            </w:r>
          </w:p>
        </w:tc>
        <w:tc>
          <w:tcPr>
            <w:tcW w:w="4177" w:type="dxa"/>
          </w:tcPr>
          <w:p w:rsidR="00552ADE" w:rsidRPr="00F909C5" w:rsidRDefault="00552ADE" w:rsidP="0069317B">
            <w:pPr>
              <w:rPr>
                <w:rFonts w:cs="Arial"/>
              </w:rPr>
            </w:pPr>
            <w:r w:rsidRPr="00F909C5">
              <w:rPr>
                <w:rFonts w:cs="Arial"/>
                <w:sz w:val="22"/>
                <w:szCs w:val="22"/>
              </w:rPr>
              <w:t>Typical working pattern in this post  e.g. ward rounds, clinics, theatre sessions</w:t>
            </w:r>
          </w:p>
          <w:p w:rsidR="00552ADE" w:rsidRPr="00046563" w:rsidRDefault="00552ADE" w:rsidP="0069317B">
            <w:pPr>
              <w:rPr>
                <w:rFonts w:cs="Arial"/>
              </w:rPr>
            </w:pPr>
            <w:r w:rsidRPr="00F909C5">
              <w:rPr>
                <w:rFonts w:cs="Arial"/>
                <w:sz w:val="22"/>
                <w:szCs w:val="22"/>
              </w:rPr>
              <w:t>Daily/weekly</w:t>
            </w:r>
            <w:r>
              <w:rPr>
                <w:rFonts w:cs="Arial"/>
                <w:sz w:val="22"/>
                <w:szCs w:val="22"/>
              </w:rPr>
              <w:t xml:space="preserve">/monthly (if applicable)         </w:t>
            </w:r>
          </w:p>
          <w:p w:rsidR="00552ADE" w:rsidRPr="00046563" w:rsidRDefault="00552ADE" w:rsidP="0069317B">
            <w:pPr>
              <w:rPr>
                <w:rFonts w:cs="Arial"/>
              </w:rPr>
            </w:pPr>
          </w:p>
          <w:p w:rsidR="00552ADE" w:rsidRPr="00F909C5" w:rsidRDefault="00552ADE" w:rsidP="0069317B">
            <w:pPr>
              <w:rPr>
                <w:rFonts w:cs="Arial"/>
              </w:rPr>
            </w:pPr>
          </w:p>
        </w:tc>
      </w:tr>
      <w:tr w:rsidR="00552ADE" w:rsidRPr="004F4EE0" w:rsidTr="0069317B">
        <w:trPr>
          <w:trHeight w:val="144"/>
        </w:trPr>
        <w:tc>
          <w:tcPr>
            <w:tcW w:w="3851" w:type="dxa"/>
          </w:tcPr>
          <w:p w:rsidR="00552ADE" w:rsidRPr="00C70B03" w:rsidRDefault="00552ADE" w:rsidP="0069317B">
            <w:pPr>
              <w:rPr>
                <w:rFonts w:cs="Arial"/>
                <w:b/>
              </w:rPr>
            </w:pPr>
            <w:r>
              <w:rPr>
                <w:rFonts w:cs="Arial"/>
                <w:b/>
                <w:sz w:val="22"/>
                <w:szCs w:val="22"/>
              </w:rPr>
              <w:t>Employer information</w:t>
            </w:r>
          </w:p>
        </w:tc>
        <w:tc>
          <w:tcPr>
            <w:tcW w:w="4177" w:type="dxa"/>
          </w:tcPr>
          <w:p w:rsidR="00552ADE" w:rsidRPr="00F909C5" w:rsidRDefault="00552ADE" w:rsidP="0069317B">
            <w:pPr>
              <w:pStyle w:val="BodyText"/>
              <w:rPr>
                <w:rFonts w:ascii="Arial" w:hAnsi="Arial" w:cs="Arial"/>
                <w:szCs w:val="22"/>
              </w:rPr>
            </w:pPr>
            <w:r>
              <w:rPr>
                <w:rFonts w:ascii="Arial" w:hAnsi="Arial" w:cs="Arial"/>
                <w:szCs w:val="22"/>
              </w:rPr>
              <w:t>The Ipswich Hospital NHS trust is situated on the edge of Ipswich, County town of Suffolk. It has approximately 550 beds and covers a mixed urban and rural population of 360000 people. The hospital is close to beautiful countryside and the Suffolk Heritage Coast but has easy links to London (just over an hour by train). The hospital has a full range of diagnostic facilities and a well-resourced library and postgraduate centre.</w:t>
            </w:r>
          </w:p>
        </w:tc>
      </w:tr>
    </w:tbl>
    <w:p w:rsidR="00552ADE" w:rsidRDefault="00552ADE" w:rsidP="00552ADE">
      <w:pPr>
        <w:rPr>
          <w:rFonts w:cs="Arial"/>
          <w:sz w:val="22"/>
          <w:szCs w:val="22"/>
        </w:rPr>
      </w:pPr>
    </w:p>
    <w:p w:rsidR="00552ADE" w:rsidRPr="000127C0" w:rsidRDefault="00552ADE" w:rsidP="00552ADE">
      <w:pPr>
        <w:rPr>
          <w:rFonts w:cs="Arial"/>
          <w:sz w:val="22"/>
          <w:szCs w:val="22"/>
        </w:rPr>
      </w:pPr>
      <w:r>
        <w:rPr>
          <w:rFonts w:cs="Arial"/>
          <w:sz w:val="22"/>
          <w:szCs w:val="22"/>
        </w:rPr>
        <w:t>It is important to note that this description is a typical example of your placement and may be subject to change.</w:t>
      </w:r>
    </w:p>
    <w:p w:rsidR="00552ADE" w:rsidRDefault="00552ADE" w:rsidP="00552ADE"/>
    <w:p w:rsidR="00DF21D4" w:rsidRPr="00552ADE" w:rsidRDefault="00DF21D4" w:rsidP="00552ADE"/>
    <w:sectPr w:rsidR="00DF21D4" w:rsidRPr="00552AD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12"/>
  </w:num>
  <w:num w:numId="4">
    <w:abstractNumId w:val="3"/>
  </w:num>
  <w:num w:numId="5">
    <w:abstractNumId w:val="13"/>
  </w:num>
  <w:num w:numId="6">
    <w:abstractNumId w:val="14"/>
  </w:num>
  <w:num w:numId="7">
    <w:abstractNumId w:val="6"/>
  </w:num>
  <w:num w:numId="8">
    <w:abstractNumId w:val="11"/>
  </w:num>
  <w:num w:numId="9">
    <w:abstractNumId w:val="4"/>
  </w:num>
  <w:num w:numId="10">
    <w:abstractNumId w:val="1"/>
  </w:num>
  <w:num w:numId="11">
    <w:abstractNumId w:val="11"/>
  </w:num>
  <w:num w:numId="12">
    <w:abstractNumId w:val="6"/>
  </w:num>
  <w:num w:numId="13">
    <w:abstractNumId w:val="9"/>
  </w:num>
  <w:num w:numId="14">
    <w:abstractNumId w:val="11"/>
  </w:num>
  <w:num w:numId="15">
    <w:abstractNumId w:val="6"/>
  </w:num>
  <w:num w:numId="16">
    <w:abstractNumId w:val="5"/>
  </w:num>
  <w:num w:numId="17">
    <w:abstractNumId w:val="11"/>
  </w:num>
  <w:num w:numId="18">
    <w:abstractNumId w:val="6"/>
  </w:num>
  <w:num w:numId="19">
    <w:abstractNumId w:val="2"/>
  </w:num>
  <w:num w:numId="20">
    <w:abstractNumId w:val="10"/>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3520AB"/>
    <w:rsid w:val="00363F01"/>
    <w:rsid w:val="003963AC"/>
    <w:rsid w:val="00472B89"/>
    <w:rsid w:val="00495A12"/>
    <w:rsid w:val="00524ED1"/>
    <w:rsid w:val="00552ADE"/>
    <w:rsid w:val="005966EF"/>
    <w:rsid w:val="005F73FC"/>
    <w:rsid w:val="007950BD"/>
    <w:rsid w:val="007D3008"/>
    <w:rsid w:val="00803B90"/>
    <w:rsid w:val="008206BB"/>
    <w:rsid w:val="0085290E"/>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2016-09-22T13:27:00Z</dcterms:created>
  <dcterms:modified xsi:type="dcterms:W3CDTF">2016-09-22T13:27:00Z</dcterms:modified>
</cp:coreProperties>
</file>