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20" w:rsidRDefault="003A7C20" w:rsidP="003A7C20">
      <w:pPr>
        <w:tabs>
          <w:tab w:val="center" w:pos="5040"/>
          <w:tab w:val="right" w:pos="9900"/>
        </w:tabs>
      </w:pPr>
      <w:r>
        <w:t xml:space="preserve"> </w:t>
      </w:r>
      <w:r>
        <w:tab/>
      </w:r>
      <w:r>
        <w:tab/>
      </w:r>
      <w:bookmarkStart w:id="0" w:name="_GoBack"/>
      <w:bookmarkEnd w:id="0"/>
    </w:p>
    <w:p w:rsidR="003A7C20" w:rsidRDefault="003A7C20" w:rsidP="003A7C20">
      <w:pPr>
        <w:jc w:val="center"/>
        <w:rPr>
          <w:rFonts w:cs="Arial"/>
          <w:b/>
          <w:sz w:val="28"/>
          <w:szCs w:val="28"/>
        </w:rPr>
      </w:pPr>
    </w:p>
    <w:p w:rsidR="003A7C20" w:rsidRDefault="003A7C20" w:rsidP="003A7C20">
      <w:pPr>
        <w:jc w:val="center"/>
        <w:rPr>
          <w:rFonts w:cs="Arial"/>
          <w:b/>
          <w:sz w:val="28"/>
          <w:szCs w:val="28"/>
        </w:rPr>
      </w:pPr>
      <w:r>
        <w:rPr>
          <w:rFonts w:cs="Arial"/>
          <w:b/>
          <w:sz w:val="28"/>
          <w:szCs w:val="28"/>
        </w:rPr>
        <w:t>East Anglia Foundation School</w:t>
      </w:r>
    </w:p>
    <w:p w:rsidR="003A7C20" w:rsidRDefault="003A7C20" w:rsidP="003A7C20">
      <w:pPr>
        <w:jc w:val="center"/>
        <w:rPr>
          <w:rFonts w:cs="Arial"/>
          <w:b/>
          <w:sz w:val="28"/>
          <w:szCs w:val="28"/>
        </w:rPr>
      </w:pPr>
      <w:r>
        <w:rPr>
          <w:rFonts w:cs="Arial"/>
          <w:b/>
          <w:sz w:val="28"/>
          <w:szCs w:val="28"/>
        </w:rPr>
        <w:t xml:space="preserve">Individual Placement Description </w:t>
      </w:r>
    </w:p>
    <w:p w:rsidR="003A7C20" w:rsidRDefault="003A7C20" w:rsidP="003A7C20">
      <w:pPr>
        <w:jc w:val="center"/>
        <w:rPr>
          <w:rFonts w:cs="Arial"/>
          <w:b/>
          <w:sz w:val="28"/>
          <w:szCs w:val="28"/>
        </w:rPr>
      </w:pPr>
    </w:p>
    <w:p w:rsidR="003A7C20" w:rsidRDefault="003A7C20" w:rsidP="003A7C20">
      <w:pPr>
        <w:jc w:val="center"/>
        <w:rPr>
          <w:rFonts w:cs="Arial"/>
          <w:b/>
          <w:sz w:val="28"/>
          <w:szCs w:val="28"/>
        </w:rPr>
      </w:pPr>
      <w:r>
        <w:rPr>
          <w:rFonts w:cs="Arial"/>
          <w:b/>
          <w:sz w:val="28"/>
          <w:szCs w:val="28"/>
        </w:rPr>
        <w:t>James Paget University Hospitals NHS Foundation Trust</w:t>
      </w:r>
    </w:p>
    <w:p w:rsidR="003A7C20" w:rsidRDefault="003A7C20" w:rsidP="003A7C20">
      <w:pPr>
        <w:rPr>
          <w:rFonts w:cs="Arial"/>
          <w:b/>
          <w:sz w:val="22"/>
          <w:szCs w:val="22"/>
        </w:rPr>
      </w:pPr>
    </w:p>
    <w:p w:rsidR="003A7C20" w:rsidRDefault="003A7C20" w:rsidP="003A7C2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Foundation Year 2 Trainee in Emergency Medicine (A&amp;E)</w:t>
            </w:r>
          </w:p>
          <w:p w:rsidR="003A7C20" w:rsidRDefault="003A7C20">
            <w:pPr>
              <w:jc w:val="both"/>
              <w:rPr>
                <w:rFonts w:cs="Arial"/>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 xml:space="preserve">The Accident &amp; Emergency department sees approximately 62,000 cases per year.  The caseload covers Associate Specialists, Specialty Doctors, Specialty Registrars, General Practice Trainees, Foundation Year 2 Trainees and Acute Core Common Stem Trainee. </w:t>
            </w:r>
          </w:p>
          <w:p w:rsidR="003A7C20" w:rsidRDefault="003A7C20">
            <w:pPr>
              <w:jc w:val="both"/>
              <w:rPr>
                <w:rFonts w:cs="Arial"/>
              </w:rPr>
            </w:pPr>
          </w:p>
          <w:p w:rsidR="003A7C20" w:rsidRDefault="003A7C20">
            <w:pPr>
              <w:jc w:val="both"/>
              <w:rPr>
                <w:rFonts w:cs="Arial"/>
              </w:rPr>
            </w:pPr>
            <w:r>
              <w:rPr>
                <w:rFonts w:cs="Arial"/>
                <w:sz w:val="22"/>
                <w:szCs w:val="22"/>
              </w:rPr>
              <w:t xml:space="preserve">The department operates a full shift rota system.  There is always 24 hours cover at Associate Specialist/Specialty Doctor/Specialty Registrar level.  There are regular teaching sessions with protected time once a week and the training requirements of all junior staff are assessed to allow a profile of individual training needs. </w:t>
            </w:r>
          </w:p>
          <w:p w:rsidR="003A7C20" w:rsidRDefault="003A7C20">
            <w:pPr>
              <w:rPr>
                <w:rFonts w:cs="Arial"/>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3A7C20" w:rsidRDefault="003A7C20">
            <w:pPr>
              <w:jc w:val="both"/>
              <w:rPr>
                <w:rFonts w:cs="Arial"/>
              </w:rPr>
            </w:pPr>
          </w:p>
          <w:p w:rsidR="003A7C20" w:rsidRDefault="003A7C20">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3A7C20" w:rsidRDefault="003A7C20">
            <w:pPr>
              <w:jc w:val="both"/>
              <w:rPr>
                <w:rFonts w:cs="Arial"/>
              </w:rPr>
            </w:pPr>
          </w:p>
          <w:p w:rsidR="003A7C20" w:rsidRDefault="003A7C20" w:rsidP="003A7C20">
            <w:pPr>
              <w:numPr>
                <w:ilvl w:val="0"/>
                <w:numId w:val="27"/>
              </w:numPr>
              <w:jc w:val="both"/>
              <w:rPr>
                <w:rFonts w:cs="Arial"/>
              </w:rPr>
            </w:pPr>
            <w:r>
              <w:rPr>
                <w:rFonts w:cs="Arial"/>
                <w:sz w:val="22"/>
                <w:szCs w:val="22"/>
              </w:rPr>
              <w:t>Take a history and examine a patient.</w:t>
            </w:r>
          </w:p>
          <w:p w:rsidR="003A7C20" w:rsidRDefault="003A7C20" w:rsidP="003A7C20">
            <w:pPr>
              <w:numPr>
                <w:ilvl w:val="0"/>
                <w:numId w:val="28"/>
              </w:numPr>
              <w:jc w:val="both"/>
              <w:rPr>
                <w:rFonts w:cs="Arial"/>
              </w:rPr>
            </w:pPr>
            <w:r>
              <w:rPr>
                <w:rFonts w:cs="Arial"/>
                <w:sz w:val="22"/>
                <w:szCs w:val="22"/>
              </w:rPr>
              <w:t>Keep an accurate and legible medical record.</w:t>
            </w:r>
          </w:p>
          <w:p w:rsidR="003A7C20" w:rsidRDefault="003A7C20" w:rsidP="003A7C20">
            <w:pPr>
              <w:numPr>
                <w:ilvl w:val="0"/>
                <w:numId w:val="28"/>
              </w:numPr>
              <w:jc w:val="both"/>
              <w:rPr>
                <w:rFonts w:cs="Arial"/>
              </w:rPr>
            </w:pPr>
            <w:r>
              <w:rPr>
                <w:rFonts w:cs="Arial"/>
                <w:sz w:val="22"/>
                <w:szCs w:val="22"/>
              </w:rPr>
              <w:t>Prescribe Safely.</w:t>
            </w:r>
          </w:p>
          <w:p w:rsidR="003A7C20" w:rsidRDefault="003A7C20" w:rsidP="003A7C20">
            <w:pPr>
              <w:numPr>
                <w:ilvl w:val="0"/>
                <w:numId w:val="28"/>
              </w:numPr>
              <w:jc w:val="both"/>
              <w:rPr>
                <w:rFonts w:cs="Arial"/>
              </w:rPr>
            </w:pPr>
            <w:r>
              <w:rPr>
                <w:rFonts w:cs="Arial"/>
                <w:sz w:val="22"/>
                <w:szCs w:val="22"/>
              </w:rPr>
              <w:t>Manage time and clinical priorities effectively.</w:t>
            </w:r>
          </w:p>
          <w:p w:rsidR="003A7C20" w:rsidRDefault="003A7C20" w:rsidP="003A7C20">
            <w:pPr>
              <w:numPr>
                <w:ilvl w:val="0"/>
                <w:numId w:val="28"/>
              </w:numPr>
              <w:jc w:val="both"/>
              <w:rPr>
                <w:rFonts w:cs="Arial"/>
              </w:rPr>
            </w:pPr>
            <w:r>
              <w:rPr>
                <w:rFonts w:cs="Arial"/>
                <w:sz w:val="22"/>
                <w:szCs w:val="22"/>
              </w:rPr>
              <w:t>Communicate effectively with patients, relatives and colleagues.</w:t>
            </w:r>
          </w:p>
          <w:p w:rsidR="003A7C20" w:rsidRDefault="003A7C20" w:rsidP="003A7C20">
            <w:pPr>
              <w:numPr>
                <w:ilvl w:val="0"/>
                <w:numId w:val="28"/>
              </w:numPr>
              <w:jc w:val="both"/>
              <w:rPr>
                <w:rFonts w:cs="Arial"/>
              </w:rPr>
            </w:pPr>
            <w:r>
              <w:rPr>
                <w:rFonts w:cs="Arial"/>
                <w:sz w:val="22"/>
                <w:szCs w:val="22"/>
              </w:rPr>
              <w:t>Use evidence, guidelines and audit to benefit patient care.</w:t>
            </w:r>
          </w:p>
          <w:p w:rsidR="003A7C20" w:rsidRDefault="003A7C20" w:rsidP="003A7C20">
            <w:pPr>
              <w:numPr>
                <w:ilvl w:val="0"/>
                <w:numId w:val="28"/>
              </w:numPr>
              <w:jc w:val="both"/>
              <w:rPr>
                <w:rFonts w:cs="Arial"/>
              </w:rPr>
            </w:pPr>
            <w:r>
              <w:rPr>
                <w:rFonts w:cs="Arial"/>
                <w:sz w:val="22"/>
                <w:szCs w:val="22"/>
              </w:rPr>
              <w:t>Act in a professional manner at all times.</w:t>
            </w:r>
          </w:p>
          <w:p w:rsidR="003A7C20" w:rsidRDefault="003A7C20" w:rsidP="003A7C20">
            <w:pPr>
              <w:numPr>
                <w:ilvl w:val="0"/>
                <w:numId w:val="28"/>
              </w:numPr>
              <w:jc w:val="both"/>
              <w:rPr>
                <w:rFonts w:cs="Arial"/>
              </w:rPr>
            </w:pPr>
            <w:r>
              <w:rPr>
                <w:rFonts w:cs="Arial"/>
                <w:sz w:val="22"/>
                <w:szCs w:val="22"/>
              </w:rPr>
              <w:t xml:space="preserve">Cope with ethical and legal issues which occur during the management of patients </w:t>
            </w:r>
            <w:r>
              <w:rPr>
                <w:rFonts w:cs="Arial"/>
                <w:sz w:val="22"/>
                <w:szCs w:val="22"/>
              </w:rPr>
              <w:lastRenderedPageBreak/>
              <w:t>within the specialty.</w:t>
            </w:r>
          </w:p>
          <w:p w:rsidR="003A7C20" w:rsidRDefault="003A7C20" w:rsidP="003A7C20">
            <w:pPr>
              <w:numPr>
                <w:ilvl w:val="0"/>
                <w:numId w:val="28"/>
              </w:numPr>
              <w:jc w:val="both"/>
              <w:rPr>
                <w:rFonts w:cs="Arial"/>
              </w:rPr>
            </w:pPr>
            <w:r>
              <w:rPr>
                <w:rFonts w:cs="Arial"/>
                <w:sz w:val="22"/>
                <w:szCs w:val="22"/>
              </w:rPr>
              <w:t>Educate patients effectively.</w:t>
            </w:r>
          </w:p>
          <w:p w:rsidR="003A7C20" w:rsidRDefault="003A7C20" w:rsidP="003A7C20">
            <w:pPr>
              <w:numPr>
                <w:ilvl w:val="0"/>
                <w:numId w:val="28"/>
              </w:numPr>
              <w:jc w:val="both"/>
              <w:rPr>
                <w:rFonts w:cs="Arial"/>
                <w:b/>
              </w:rPr>
            </w:pPr>
            <w:r>
              <w:rPr>
                <w:rFonts w:cs="Arial"/>
                <w:sz w:val="22"/>
                <w:szCs w:val="22"/>
              </w:rPr>
              <w:t>Maintain life-long learning and teaching.</w:t>
            </w:r>
          </w:p>
          <w:p w:rsidR="003A7C20" w:rsidRDefault="003A7C20" w:rsidP="003A7C20">
            <w:pPr>
              <w:numPr>
                <w:ilvl w:val="0"/>
                <w:numId w:val="28"/>
              </w:numPr>
              <w:jc w:val="both"/>
              <w:rPr>
                <w:rFonts w:cs="Arial"/>
                <w:b/>
              </w:rPr>
            </w:pPr>
            <w:r>
              <w:rPr>
                <w:rFonts w:cs="Arial"/>
                <w:sz w:val="22"/>
                <w:szCs w:val="22"/>
              </w:rPr>
              <w:t>FY2’s are expected to support FY1’s and undergraduates.</w:t>
            </w:r>
          </w:p>
          <w:p w:rsidR="003A7C20" w:rsidRDefault="003A7C20">
            <w:pPr>
              <w:ind w:left="360"/>
              <w:jc w:val="both"/>
              <w:rPr>
                <w:rFonts w:cs="Arial"/>
                <w:b/>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James Paget University Hospital</w:t>
            </w:r>
          </w:p>
          <w:p w:rsidR="003A7C20" w:rsidRDefault="003A7C20">
            <w:pPr>
              <w:jc w:val="both"/>
              <w:rPr>
                <w:rFonts w:cs="Arial"/>
                <w:b/>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All trainees are provided with a named Clinical Supervisor from the list of Clinical Supervisor trainers.</w:t>
            </w:r>
          </w:p>
          <w:p w:rsidR="003A7C20" w:rsidRDefault="003A7C20">
            <w:pPr>
              <w:jc w:val="both"/>
              <w:rPr>
                <w:rFonts w:cs="Arial"/>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3A7C20" w:rsidRDefault="003A7C20">
            <w:pPr>
              <w:jc w:val="both"/>
              <w:rPr>
                <w:rFonts w:cs="Arial"/>
                <w:lang w:val="en-US" w:eastAsia="en-US"/>
              </w:rPr>
            </w:pPr>
          </w:p>
        </w:tc>
      </w:tr>
      <w:tr w:rsidR="003A7C20" w:rsidTr="003A7C20">
        <w:trPr>
          <w:trHeight w:val="144"/>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jc w:val="both"/>
              <w:rPr>
                <w:rFonts w:cs="Arial"/>
                <w:lang w:val="en-US" w:eastAsia="en-US"/>
              </w:rPr>
            </w:pPr>
            <w:bookmarkStart w:id="1" w:name="OLE_LINK1"/>
            <w:bookmarkStart w:id="2" w:name="OLE_LINK2"/>
            <w:r>
              <w:rPr>
                <w:rFonts w:cs="Arial"/>
                <w:sz w:val="22"/>
                <w:szCs w:val="22"/>
              </w:rPr>
              <w:t>Normal Working Day     0800hrs – 1600/1800hrs</w:t>
            </w:r>
          </w:p>
          <w:p w:rsidR="003A7C20" w:rsidRDefault="003A7C20">
            <w:pPr>
              <w:jc w:val="both"/>
              <w:rPr>
                <w:rFonts w:cs="Arial"/>
              </w:rPr>
            </w:pPr>
            <w:r>
              <w:rPr>
                <w:rFonts w:cs="Arial"/>
                <w:sz w:val="22"/>
                <w:szCs w:val="22"/>
              </w:rPr>
              <w:t>Late Shift                                0800hrs – 2000hrs</w:t>
            </w:r>
          </w:p>
          <w:p w:rsidR="003A7C20" w:rsidRDefault="003A7C20">
            <w:pPr>
              <w:jc w:val="both"/>
              <w:rPr>
                <w:rFonts w:cs="Arial"/>
              </w:rPr>
            </w:pPr>
            <w:r>
              <w:rPr>
                <w:rFonts w:cs="Arial"/>
                <w:sz w:val="22"/>
                <w:szCs w:val="22"/>
              </w:rPr>
              <w:t xml:space="preserve">Night Duty                               2000hrs – 0800hrs </w:t>
            </w:r>
          </w:p>
          <w:p w:rsidR="003A7C20" w:rsidRDefault="003A7C20">
            <w:pPr>
              <w:jc w:val="both"/>
              <w:rPr>
                <w:rFonts w:cs="Arial"/>
              </w:rPr>
            </w:pPr>
            <w:r>
              <w:rPr>
                <w:rFonts w:cs="Arial"/>
                <w:sz w:val="22"/>
                <w:szCs w:val="22"/>
              </w:rPr>
              <w:t xml:space="preserve">Twilight Shift    </w:t>
            </w:r>
            <w:r>
              <w:rPr>
                <w:rFonts w:cs="Arial"/>
                <w:sz w:val="20"/>
                <w:szCs w:val="20"/>
              </w:rPr>
              <w:t>1200hrs/1400hrs/1600hrs – Midnight</w:t>
            </w:r>
            <w:r>
              <w:rPr>
                <w:rFonts w:cs="Arial"/>
                <w:sz w:val="22"/>
                <w:szCs w:val="22"/>
              </w:rPr>
              <w:t xml:space="preserve">                              </w:t>
            </w:r>
          </w:p>
          <w:p w:rsidR="003A7C20" w:rsidRDefault="003A7C20">
            <w:pPr>
              <w:jc w:val="both"/>
              <w:rPr>
                <w:rFonts w:cs="Arial"/>
              </w:rPr>
            </w:pPr>
            <w:r>
              <w:rPr>
                <w:rFonts w:cs="Arial"/>
                <w:sz w:val="22"/>
                <w:szCs w:val="22"/>
              </w:rPr>
              <w:t xml:space="preserve">                                  1400hrs/1600hrs – 2200hrs</w:t>
            </w:r>
          </w:p>
          <w:bookmarkEnd w:id="1"/>
          <w:bookmarkEnd w:id="2"/>
          <w:p w:rsidR="003A7C20" w:rsidRDefault="003A7C20">
            <w:pPr>
              <w:jc w:val="both"/>
              <w:rPr>
                <w:rFonts w:cs="Arial"/>
              </w:rPr>
            </w:pPr>
          </w:p>
          <w:p w:rsidR="003A7C20" w:rsidRDefault="003A7C20">
            <w:pPr>
              <w:jc w:val="both"/>
              <w:rPr>
                <w:rFonts w:cs="Arial"/>
              </w:rPr>
            </w:pPr>
            <w:r>
              <w:rPr>
                <w:rFonts w:cs="Arial"/>
                <w:sz w:val="22"/>
                <w:szCs w:val="22"/>
              </w:rPr>
              <w:t xml:space="preserve">The Foundation Year 2 Trainee will participate in a 1:7 full shift system. </w:t>
            </w:r>
          </w:p>
          <w:p w:rsidR="003A7C20" w:rsidRDefault="003A7C20">
            <w:pPr>
              <w:jc w:val="both"/>
              <w:rPr>
                <w:rFonts w:cs="Arial"/>
              </w:rPr>
            </w:pPr>
          </w:p>
          <w:p w:rsidR="003A7C20" w:rsidRDefault="003A7C20">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3A7C20" w:rsidRDefault="003A7C20">
            <w:pPr>
              <w:rPr>
                <w:rFonts w:cs="Arial"/>
                <w:lang w:val="en-US" w:eastAsia="en-US"/>
              </w:rPr>
            </w:pPr>
          </w:p>
        </w:tc>
      </w:tr>
      <w:tr w:rsidR="003A7C20" w:rsidTr="003A7C20">
        <w:trPr>
          <w:trHeight w:val="288"/>
        </w:trPr>
        <w:tc>
          <w:tcPr>
            <w:tcW w:w="3540" w:type="dxa"/>
            <w:tcBorders>
              <w:top w:val="single" w:sz="4" w:space="0" w:color="auto"/>
              <w:left w:val="single" w:sz="4" w:space="0" w:color="auto"/>
              <w:bottom w:val="single" w:sz="4" w:space="0" w:color="auto"/>
              <w:right w:val="single" w:sz="4" w:space="0" w:color="auto"/>
            </w:tcBorders>
            <w:hideMark/>
          </w:tcPr>
          <w:p w:rsidR="003A7C20" w:rsidRDefault="003A7C20">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3A7C20" w:rsidRDefault="003A7C20">
            <w:pPr>
              <w:pStyle w:val="NormalWeb"/>
              <w:jc w:val="both"/>
              <w:rPr>
                <w:sz w:val="22"/>
                <w:szCs w:val="22"/>
              </w:rPr>
            </w:pPr>
            <w:r>
              <w:rPr>
                <w:sz w:val="22"/>
                <w:szCs w:val="22"/>
              </w:rPr>
              <w:t>The James Paget University Hospitals NHS Foundation Trust became the first Foundation Trust in Norfolk and Suffolk on 1st August 2006.</w:t>
            </w:r>
          </w:p>
          <w:p w:rsidR="003A7C20" w:rsidRDefault="003A7C20">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3A7C20" w:rsidRDefault="003A7C20">
            <w:pPr>
              <w:pStyle w:val="NormalWeb"/>
              <w:jc w:val="both"/>
              <w:rPr>
                <w:sz w:val="22"/>
                <w:szCs w:val="22"/>
              </w:rPr>
            </w:pPr>
            <w:r>
              <w:rPr>
                <w:sz w:val="22"/>
                <w:szCs w:val="22"/>
              </w:rPr>
              <w:t xml:space="preserve">As a University Hospital, over one third of the medical students are trained from the University of East Anglia. There is a strong national </w:t>
            </w:r>
            <w:r>
              <w:rPr>
                <w:sz w:val="22"/>
                <w:szCs w:val="22"/>
              </w:rPr>
              <w:lastRenderedPageBreak/>
              <w:t xml:space="preserve">reputation for research and excellence in the quality of training facilities. </w:t>
            </w:r>
          </w:p>
          <w:p w:rsidR="003A7C20" w:rsidRDefault="003A7C20">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3A7C20" w:rsidRDefault="003A7C20">
            <w:pPr>
              <w:jc w:val="both"/>
              <w:rPr>
                <w:rFonts w:cs="Arial"/>
                <w:lang w:val="en-US" w:eastAsia="en-US"/>
              </w:rPr>
            </w:pPr>
          </w:p>
        </w:tc>
      </w:tr>
    </w:tbl>
    <w:p w:rsidR="003A7C20" w:rsidRDefault="003A7C20" w:rsidP="003A7C20">
      <w:pPr>
        <w:rPr>
          <w:rFonts w:cs="Arial"/>
          <w:sz w:val="22"/>
          <w:szCs w:val="22"/>
          <w:lang w:val="en-US" w:eastAsia="en-US"/>
        </w:rPr>
      </w:pPr>
    </w:p>
    <w:p w:rsidR="003A7C20" w:rsidRDefault="003A7C20" w:rsidP="003A7C20">
      <w:pPr>
        <w:rPr>
          <w:rFonts w:cs="Arial"/>
          <w:sz w:val="22"/>
          <w:szCs w:val="22"/>
        </w:rPr>
      </w:pPr>
      <w:r>
        <w:rPr>
          <w:rFonts w:cs="Arial"/>
          <w:sz w:val="22"/>
          <w:szCs w:val="22"/>
        </w:rPr>
        <w:t>It is important to note that this description is a typical example of your placement and may be subject to change.</w:t>
      </w:r>
    </w:p>
    <w:p w:rsidR="003A7C20" w:rsidRDefault="003A7C20" w:rsidP="003A7C20">
      <w:pPr>
        <w:rPr>
          <w:rFonts w:cs="Arial"/>
          <w:sz w:val="22"/>
          <w:szCs w:val="22"/>
        </w:rPr>
      </w:pPr>
    </w:p>
    <w:p w:rsidR="003A7C20" w:rsidRDefault="003A7C20" w:rsidP="003A7C20">
      <w:pPr>
        <w:rPr>
          <w:rFonts w:ascii="Cambria" w:hAnsi="Cambria"/>
        </w:rPr>
      </w:pPr>
    </w:p>
    <w:p w:rsidR="00DF21D4" w:rsidRPr="003A7C20" w:rsidRDefault="00DF21D4" w:rsidP="003A7C20"/>
    <w:sectPr w:rsidR="00DF21D4" w:rsidRPr="003A7C20"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7299B"/>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2016-09-22T13:53:00Z</dcterms:created>
  <dcterms:modified xsi:type="dcterms:W3CDTF">2016-09-22T13:53:00Z</dcterms:modified>
</cp:coreProperties>
</file>