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F5" w:rsidRDefault="00374DF5" w:rsidP="00374DF5">
      <w:pPr>
        <w:tabs>
          <w:tab w:val="center" w:pos="5040"/>
          <w:tab w:val="right" w:pos="9900"/>
        </w:tabs>
      </w:pPr>
      <w:r>
        <w:tab/>
      </w:r>
      <w:r>
        <w:tab/>
      </w:r>
      <w:bookmarkStart w:id="0" w:name="_GoBack"/>
      <w:bookmarkEnd w:id="0"/>
    </w:p>
    <w:p w:rsidR="00374DF5" w:rsidRDefault="00374DF5" w:rsidP="00374DF5">
      <w:pPr>
        <w:jc w:val="center"/>
        <w:rPr>
          <w:rFonts w:cs="Arial"/>
          <w:b/>
          <w:bCs/>
          <w:sz w:val="28"/>
          <w:szCs w:val="28"/>
        </w:rPr>
      </w:pPr>
    </w:p>
    <w:p w:rsidR="00374DF5" w:rsidRDefault="00374DF5" w:rsidP="00374DF5">
      <w:pPr>
        <w:jc w:val="center"/>
        <w:rPr>
          <w:rFonts w:cs="Arial"/>
          <w:b/>
          <w:bCs/>
          <w:sz w:val="28"/>
          <w:szCs w:val="28"/>
        </w:rPr>
      </w:pPr>
      <w:r>
        <w:rPr>
          <w:rFonts w:cs="Arial"/>
          <w:b/>
          <w:bCs/>
          <w:sz w:val="28"/>
          <w:szCs w:val="28"/>
        </w:rPr>
        <w:t>East Anglia Foundation School</w:t>
      </w:r>
    </w:p>
    <w:p w:rsidR="00374DF5" w:rsidRDefault="00374DF5" w:rsidP="00374DF5">
      <w:pPr>
        <w:jc w:val="center"/>
        <w:rPr>
          <w:rFonts w:cs="Arial"/>
          <w:b/>
          <w:bCs/>
          <w:sz w:val="28"/>
          <w:szCs w:val="28"/>
        </w:rPr>
      </w:pPr>
      <w:r>
        <w:rPr>
          <w:rFonts w:cs="Arial"/>
          <w:b/>
          <w:bCs/>
          <w:sz w:val="28"/>
          <w:szCs w:val="28"/>
        </w:rPr>
        <w:t xml:space="preserve">Individual Placement Description </w:t>
      </w:r>
    </w:p>
    <w:p w:rsidR="00374DF5" w:rsidRDefault="00374DF5" w:rsidP="00374DF5">
      <w:pPr>
        <w:jc w:val="center"/>
        <w:rPr>
          <w:rFonts w:cs="Arial"/>
          <w:b/>
          <w:bCs/>
          <w:sz w:val="28"/>
          <w:szCs w:val="28"/>
        </w:rPr>
      </w:pPr>
    </w:p>
    <w:p w:rsidR="00374DF5" w:rsidRDefault="00374DF5" w:rsidP="00374DF5">
      <w:pPr>
        <w:jc w:val="center"/>
        <w:rPr>
          <w:rFonts w:cs="Arial"/>
          <w:b/>
          <w:bCs/>
          <w:sz w:val="28"/>
          <w:szCs w:val="28"/>
        </w:rPr>
      </w:pPr>
      <w:r>
        <w:rPr>
          <w:rFonts w:cs="Arial"/>
          <w:b/>
          <w:bCs/>
          <w:sz w:val="28"/>
          <w:szCs w:val="28"/>
        </w:rPr>
        <w:t>West Suffolk Hospital NHS Trust</w:t>
      </w:r>
    </w:p>
    <w:p w:rsidR="00374DF5" w:rsidRDefault="00374DF5" w:rsidP="00374DF5">
      <w:pPr>
        <w:rPr>
          <w:rFonts w:cs="Arial"/>
          <w:b/>
          <w:bCs/>
          <w:sz w:val="22"/>
          <w:szCs w:val="22"/>
        </w:rPr>
      </w:pPr>
    </w:p>
    <w:p w:rsidR="00374DF5" w:rsidRDefault="00374DF5" w:rsidP="00374DF5">
      <w:pPr>
        <w:rPr>
          <w:rFonts w:cs="Arial"/>
          <w:b/>
          <w:bCs/>
          <w:sz w:val="22"/>
          <w:szCs w:val="22"/>
        </w:rPr>
      </w:pPr>
    </w:p>
    <w:tbl>
      <w:tblPr>
        <w:tblW w:w="8028" w:type="dxa"/>
        <w:tblLook w:val="01E0" w:firstRow="1" w:lastRow="1" w:firstColumn="1" w:lastColumn="1" w:noHBand="0" w:noVBand="0"/>
      </w:tblPr>
      <w:tblGrid>
        <w:gridCol w:w="3851"/>
        <w:gridCol w:w="4177"/>
      </w:tblGrid>
      <w:tr w:rsidR="00374DF5" w:rsidTr="00374DF5">
        <w:trPr>
          <w:trHeight w:val="144"/>
        </w:trPr>
        <w:tc>
          <w:tcPr>
            <w:tcW w:w="3851" w:type="dxa"/>
            <w:hideMark/>
          </w:tcPr>
          <w:p w:rsidR="00374DF5" w:rsidRDefault="00374DF5">
            <w:pPr>
              <w:jc w:val="both"/>
              <w:rPr>
                <w:rFonts w:cs="Arial"/>
                <w:b/>
                <w:bCs/>
                <w:lang w:val="en-US" w:eastAsia="en-US"/>
              </w:rPr>
            </w:pPr>
            <w:r>
              <w:rPr>
                <w:rFonts w:cs="Arial"/>
                <w:b/>
                <w:bCs/>
                <w:sz w:val="22"/>
                <w:szCs w:val="22"/>
              </w:rPr>
              <w:t>Placement</w:t>
            </w:r>
          </w:p>
        </w:tc>
        <w:tc>
          <w:tcPr>
            <w:tcW w:w="4177" w:type="dxa"/>
          </w:tcPr>
          <w:p w:rsidR="00374DF5" w:rsidRDefault="00374DF5">
            <w:pPr>
              <w:jc w:val="both"/>
              <w:rPr>
                <w:rFonts w:cs="Arial"/>
                <w:lang w:val="en-US" w:eastAsia="en-US"/>
              </w:rPr>
            </w:pPr>
            <w:r>
              <w:rPr>
                <w:rFonts w:cs="Arial"/>
              </w:rPr>
              <w:t>Emergency Medicine FY2</w:t>
            </w:r>
          </w:p>
          <w:p w:rsidR="00374DF5" w:rsidRDefault="00374DF5">
            <w:pPr>
              <w:jc w:val="both"/>
              <w:rPr>
                <w:rFonts w:cs="Arial"/>
                <w:lang w:val="en-US" w:eastAsia="en-US"/>
              </w:rPr>
            </w:pPr>
          </w:p>
        </w:tc>
      </w:tr>
      <w:tr w:rsidR="00374DF5" w:rsidTr="00374DF5">
        <w:trPr>
          <w:trHeight w:val="144"/>
        </w:trPr>
        <w:tc>
          <w:tcPr>
            <w:tcW w:w="3851" w:type="dxa"/>
            <w:hideMark/>
          </w:tcPr>
          <w:p w:rsidR="00374DF5" w:rsidRDefault="00374DF5">
            <w:pPr>
              <w:rPr>
                <w:rFonts w:cs="Arial"/>
                <w:b/>
                <w:bCs/>
                <w:lang w:val="en-US" w:eastAsia="en-US"/>
              </w:rPr>
            </w:pPr>
            <w:r>
              <w:rPr>
                <w:rFonts w:cs="Arial"/>
                <w:b/>
                <w:bCs/>
                <w:sz w:val="22"/>
                <w:szCs w:val="22"/>
              </w:rPr>
              <w:t>The department</w:t>
            </w:r>
          </w:p>
        </w:tc>
        <w:tc>
          <w:tcPr>
            <w:tcW w:w="4177" w:type="dxa"/>
          </w:tcPr>
          <w:p w:rsidR="00374DF5" w:rsidRDefault="00374DF5">
            <w:pPr>
              <w:rPr>
                <w:rFonts w:cs="Arial"/>
                <w:lang w:val="en-US" w:eastAsia="en-US"/>
              </w:rPr>
            </w:pPr>
            <w:r>
              <w:rPr>
                <w:rFonts w:cs="Arial"/>
              </w:rPr>
              <w:t>Accident and Emergency at West Suffolk Hospital has four resuscitation bays, and separate areas for major, minor and “see and treat” category patients. It typically sees between 150-200 patients a day. It is staffed by a rotation of six consultants, five middle grade doctors, and junior doctors composed of GPVTS, CT, ST and FY2 doctors.</w:t>
            </w:r>
          </w:p>
          <w:p w:rsidR="00374DF5" w:rsidRDefault="00374DF5">
            <w:pPr>
              <w:rPr>
                <w:rFonts w:cs="Arial"/>
                <w:lang w:val="en-US" w:eastAsia="en-US"/>
              </w:rPr>
            </w:pPr>
          </w:p>
        </w:tc>
      </w:tr>
      <w:tr w:rsidR="00374DF5" w:rsidTr="00374DF5">
        <w:trPr>
          <w:trHeight w:val="144"/>
        </w:trPr>
        <w:tc>
          <w:tcPr>
            <w:tcW w:w="3851" w:type="dxa"/>
            <w:hideMark/>
          </w:tcPr>
          <w:p w:rsidR="00374DF5" w:rsidRDefault="00374DF5">
            <w:pPr>
              <w:rPr>
                <w:rFonts w:cs="Arial"/>
                <w:b/>
                <w:bCs/>
                <w:lang w:val="en-US" w:eastAsia="en-US"/>
              </w:rPr>
            </w:pPr>
            <w:r>
              <w:rPr>
                <w:rFonts w:cs="Arial"/>
                <w:b/>
                <w:bCs/>
                <w:sz w:val="22"/>
                <w:szCs w:val="22"/>
              </w:rPr>
              <w:t>The type of work to expect and learning opportunities</w:t>
            </w:r>
          </w:p>
        </w:tc>
        <w:tc>
          <w:tcPr>
            <w:tcW w:w="4177" w:type="dxa"/>
          </w:tcPr>
          <w:p w:rsidR="00374DF5" w:rsidRDefault="00374DF5">
            <w:pPr>
              <w:rPr>
                <w:rFonts w:cs="Arial"/>
                <w:lang w:val="en-US" w:eastAsia="en-US"/>
              </w:rPr>
            </w:pPr>
            <w:r>
              <w:rPr>
                <w:rFonts w:cs="Arial"/>
              </w:rPr>
              <w:t>A mixture of attendance at resuscitation calls, to assessing “majors” patients (e.g. acute dyspnoea, chest pain, road traffic accidents), “minors” patients (e.g. abdominal pain, foreign body to eyes), and “see and treat” patients (e.g. lacerations, bony injuries, sprains). You will see these patients, formulate a management plan and discuss them with seniors. This allows you to reflect on your assessment and management skills but also gain support where the diagnosis is not as clear.</w:t>
            </w:r>
          </w:p>
          <w:p w:rsidR="00374DF5" w:rsidRDefault="00374DF5">
            <w:pPr>
              <w:rPr>
                <w:rFonts w:cs="Arial"/>
              </w:rPr>
            </w:pPr>
          </w:p>
          <w:p w:rsidR="00374DF5" w:rsidRDefault="00374DF5">
            <w:pPr>
              <w:jc w:val="both"/>
              <w:rPr>
                <w:rFonts w:cs="Arial"/>
              </w:rPr>
            </w:pPr>
            <w:r>
              <w:rPr>
                <w:rFonts w:cs="Arial"/>
              </w:rPr>
              <w:t xml:space="preserve">The overall educational objectives of the F2 year are to provide the trainee with/develop further the knowledge, skills and attitudes to be able to </w:t>
            </w:r>
          </w:p>
          <w:p w:rsidR="00374DF5" w:rsidRDefault="00374DF5" w:rsidP="00374DF5">
            <w:pPr>
              <w:numPr>
                <w:ilvl w:val="0"/>
                <w:numId w:val="15"/>
              </w:numPr>
              <w:jc w:val="both"/>
              <w:rPr>
                <w:rFonts w:cs="Arial"/>
              </w:rPr>
            </w:pPr>
            <w:r>
              <w:rPr>
                <w:rFonts w:cs="Arial"/>
              </w:rPr>
              <w:t>Take a history and examine a patient</w:t>
            </w:r>
          </w:p>
          <w:p w:rsidR="00374DF5" w:rsidRDefault="00374DF5" w:rsidP="00374DF5">
            <w:pPr>
              <w:numPr>
                <w:ilvl w:val="0"/>
                <w:numId w:val="16"/>
              </w:numPr>
              <w:jc w:val="both"/>
              <w:rPr>
                <w:rFonts w:cs="Arial"/>
              </w:rPr>
            </w:pPr>
            <w:r>
              <w:rPr>
                <w:rFonts w:cs="Arial"/>
              </w:rPr>
              <w:t>Identify and synthesise problems</w:t>
            </w:r>
          </w:p>
          <w:p w:rsidR="00374DF5" w:rsidRDefault="00374DF5" w:rsidP="00374DF5">
            <w:pPr>
              <w:numPr>
                <w:ilvl w:val="0"/>
                <w:numId w:val="16"/>
              </w:numPr>
              <w:jc w:val="both"/>
              <w:rPr>
                <w:rFonts w:cs="Arial"/>
              </w:rPr>
            </w:pPr>
            <w:r>
              <w:rPr>
                <w:rFonts w:cs="Arial"/>
              </w:rPr>
              <w:t>Prescribe safely</w:t>
            </w:r>
          </w:p>
          <w:p w:rsidR="00374DF5" w:rsidRDefault="00374DF5" w:rsidP="00374DF5">
            <w:pPr>
              <w:numPr>
                <w:ilvl w:val="0"/>
                <w:numId w:val="16"/>
              </w:numPr>
              <w:jc w:val="both"/>
              <w:rPr>
                <w:rFonts w:cs="Arial"/>
              </w:rPr>
            </w:pPr>
            <w:r>
              <w:rPr>
                <w:rFonts w:cs="Arial"/>
              </w:rPr>
              <w:t xml:space="preserve">Keep an accurate and </w:t>
            </w:r>
            <w:r>
              <w:rPr>
                <w:rFonts w:cs="Arial"/>
              </w:rPr>
              <w:lastRenderedPageBreak/>
              <w:t xml:space="preserve">relevant medical record </w:t>
            </w:r>
          </w:p>
          <w:p w:rsidR="00374DF5" w:rsidRDefault="00374DF5" w:rsidP="00374DF5">
            <w:pPr>
              <w:numPr>
                <w:ilvl w:val="0"/>
                <w:numId w:val="16"/>
              </w:numPr>
              <w:jc w:val="both"/>
              <w:rPr>
                <w:rFonts w:cs="Arial"/>
              </w:rPr>
            </w:pPr>
            <w:r>
              <w:rPr>
                <w:rFonts w:cs="Arial"/>
              </w:rPr>
              <w:t>Manage time and clinical priorities effectively</w:t>
            </w:r>
          </w:p>
          <w:p w:rsidR="00374DF5" w:rsidRDefault="00374DF5" w:rsidP="00374DF5">
            <w:pPr>
              <w:numPr>
                <w:ilvl w:val="0"/>
                <w:numId w:val="16"/>
              </w:numPr>
              <w:jc w:val="both"/>
              <w:rPr>
                <w:rFonts w:cs="Arial"/>
              </w:rPr>
            </w:pPr>
            <w:r>
              <w:rPr>
                <w:rFonts w:cs="Arial"/>
              </w:rPr>
              <w:t>Communicate effectively with patients, relatives and colleagues</w:t>
            </w:r>
          </w:p>
          <w:p w:rsidR="00374DF5" w:rsidRDefault="00374DF5" w:rsidP="00374DF5">
            <w:pPr>
              <w:numPr>
                <w:ilvl w:val="0"/>
                <w:numId w:val="16"/>
              </w:numPr>
              <w:jc w:val="both"/>
              <w:rPr>
                <w:rFonts w:cs="Arial"/>
              </w:rPr>
            </w:pPr>
            <w:r>
              <w:rPr>
                <w:rFonts w:cs="Arial"/>
              </w:rPr>
              <w:t>Use evidence, guidelines and audit to benefit patient care</w:t>
            </w:r>
          </w:p>
          <w:p w:rsidR="00374DF5" w:rsidRDefault="00374DF5" w:rsidP="00374DF5">
            <w:pPr>
              <w:numPr>
                <w:ilvl w:val="0"/>
                <w:numId w:val="16"/>
              </w:numPr>
              <w:jc w:val="both"/>
              <w:rPr>
                <w:rFonts w:cs="Arial"/>
              </w:rPr>
            </w:pPr>
            <w:r>
              <w:rPr>
                <w:rFonts w:cs="Arial"/>
              </w:rPr>
              <w:t>Act in a professional manner at all times</w:t>
            </w:r>
          </w:p>
          <w:p w:rsidR="00374DF5" w:rsidRDefault="00374DF5" w:rsidP="00374DF5">
            <w:pPr>
              <w:numPr>
                <w:ilvl w:val="0"/>
                <w:numId w:val="16"/>
              </w:numPr>
              <w:jc w:val="both"/>
              <w:rPr>
                <w:rFonts w:cs="Arial"/>
              </w:rPr>
            </w:pPr>
            <w:r>
              <w:rPr>
                <w:rFonts w:cs="Arial"/>
              </w:rPr>
              <w:t>Cope with ethical and legal issues which occur during the management of patients with general medical problems</w:t>
            </w:r>
          </w:p>
          <w:p w:rsidR="00374DF5" w:rsidRDefault="00374DF5" w:rsidP="00374DF5">
            <w:pPr>
              <w:numPr>
                <w:ilvl w:val="0"/>
                <w:numId w:val="16"/>
              </w:numPr>
              <w:jc w:val="both"/>
              <w:rPr>
                <w:rFonts w:cs="Arial"/>
              </w:rPr>
            </w:pPr>
            <w:r>
              <w:rPr>
                <w:rFonts w:cs="Arial"/>
              </w:rPr>
              <w:t>Educate patients effectively</w:t>
            </w:r>
          </w:p>
          <w:p w:rsidR="00374DF5" w:rsidRDefault="00374DF5" w:rsidP="00374DF5">
            <w:pPr>
              <w:numPr>
                <w:ilvl w:val="0"/>
                <w:numId w:val="16"/>
              </w:numPr>
              <w:jc w:val="both"/>
              <w:rPr>
                <w:rFonts w:cs="Arial"/>
              </w:rPr>
            </w:pPr>
            <w:r>
              <w:rPr>
                <w:rFonts w:cs="Arial"/>
              </w:rPr>
              <w:t>Become life-long learners and teachers.</w:t>
            </w:r>
          </w:p>
          <w:p w:rsidR="00374DF5" w:rsidRDefault="00374DF5">
            <w:pPr>
              <w:jc w:val="both"/>
              <w:rPr>
                <w:rFonts w:cs="Arial"/>
              </w:rPr>
            </w:pPr>
          </w:p>
          <w:p w:rsidR="00374DF5" w:rsidRDefault="00374DF5">
            <w:pPr>
              <w:jc w:val="both"/>
              <w:rPr>
                <w:rFonts w:cs="Arial"/>
                <w:lang w:val="en-US" w:eastAsia="en-US"/>
              </w:rPr>
            </w:pPr>
            <w:r>
              <w:rPr>
                <w:rFonts w:cs="Arial"/>
              </w:rPr>
              <w:t>Learning opportunities include a 1 day A&amp;E emergency radiology course at Northwick Park London, a 3 day induction at the start, and regular Thursday A&amp;E teaching and periodic radiology department teaching.</w:t>
            </w:r>
          </w:p>
        </w:tc>
      </w:tr>
      <w:tr w:rsidR="00374DF5" w:rsidTr="00374DF5">
        <w:trPr>
          <w:trHeight w:val="144"/>
        </w:trPr>
        <w:tc>
          <w:tcPr>
            <w:tcW w:w="3851" w:type="dxa"/>
            <w:hideMark/>
          </w:tcPr>
          <w:p w:rsidR="00374DF5" w:rsidRDefault="00374DF5">
            <w:pPr>
              <w:jc w:val="both"/>
              <w:rPr>
                <w:rFonts w:cs="Arial"/>
                <w:b/>
                <w:bCs/>
                <w:lang w:val="en-US" w:eastAsia="en-US"/>
              </w:rPr>
            </w:pPr>
            <w:r>
              <w:rPr>
                <w:rFonts w:cs="Arial"/>
                <w:b/>
                <w:bCs/>
                <w:sz w:val="22"/>
                <w:szCs w:val="22"/>
              </w:rPr>
              <w:lastRenderedPageBreak/>
              <w:t>Where the placement is based</w:t>
            </w:r>
          </w:p>
        </w:tc>
        <w:tc>
          <w:tcPr>
            <w:tcW w:w="4177" w:type="dxa"/>
          </w:tcPr>
          <w:p w:rsidR="00374DF5" w:rsidRDefault="00374DF5">
            <w:pPr>
              <w:jc w:val="both"/>
              <w:rPr>
                <w:rFonts w:cs="Arial"/>
                <w:lang w:val="en-US" w:eastAsia="en-US"/>
              </w:rPr>
            </w:pPr>
            <w:r>
              <w:rPr>
                <w:rFonts w:cs="Arial"/>
              </w:rPr>
              <w:t>West Suffolk Foundation Trust Hospital, A&amp;E</w:t>
            </w:r>
          </w:p>
          <w:p w:rsidR="00374DF5" w:rsidRDefault="00374DF5">
            <w:pPr>
              <w:jc w:val="both"/>
              <w:rPr>
                <w:rFonts w:cs="Arial"/>
                <w:lang w:val="en-US" w:eastAsia="en-US"/>
              </w:rPr>
            </w:pPr>
          </w:p>
        </w:tc>
      </w:tr>
      <w:tr w:rsidR="00374DF5" w:rsidTr="00374DF5">
        <w:trPr>
          <w:trHeight w:val="144"/>
        </w:trPr>
        <w:tc>
          <w:tcPr>
            <w:tcW w:w="3851" w:type="dxa"/>
            <w:hideMark/>
          </w:tcPr>
          <w:p w:rsidR="00374DF5" w:rsidRDefault="00374DF5">
            <w:pPr>
              <w:jc w:val="both"/>
              <w:rPr>
                <w:rFonts w:cs="Arial"/>
                <w:b/>
                <w:bCs/>
                <w:lang w:val="en-US" w:eastAsia="en-US"/>
              </w:rPr>
            </w:pPr>
            <w:r>
              <w:rPr>
                <w:rFonts w:cs="Arial"/>
                <w:b/>
                <w:bCs/>
                <w:sz w:val="22"/>
                <w:szCs w:val="22"/>
              </w:rPr>
              <w:t>Clinical Supervisor(s) for the placement</w:t>
            </w:r>
          </w:p>
        </w:tc>
        <w:tc>
          <w:tcPr>
            <w:tcW w:w="4177" w:type="dxa"/>
          </w:tcPr>
          <w:p w:rsidR="00374DF5" w:rsidRDefault="00374DF5">
            <w:pPr>
              <w:jc w:val="both"/>
              <w:rPr>
                <w:rFonts w:cs="Arial"/>
                <w:lang w:val="en-US" w:eastAsia="en-US"/>
              </w:rPr>
            </w:pPr>
            <w:r>
              <w:rPr>
                <w:rFonts w:cs="Arial"/>
                <w:sz w:val="22"/>
                <w:szCs w:val="22"/>
              </w:rPr>
              <w:t xml:space="preserve">Dr Steffen </w:t>
            </w:r>
            <w:proofErr w:type="spellStart"/>
            <w:r>
              <w:rPr>
                <w:rFonts w:cs="Arial"/>
                <w:sz w:val="22"/>
                <w:szCs w:val="22"/>
              </w:rPr>
              <w:t>Schickerling</w:t>
            </w:r>
            <w:proofErr w:type="spellEnd"/>
          </w:p>
          <w:p w:rsidR="00374DF5" w:rsidRDefault="00374DF5">
            <w:pPr>
              <w:jc w:val="both"/>
              <w:rPr>
                <w:rFonts w:cs="Arial"/>
                <w:lang w:val="en-US" w:eastAsia="en-US"/>
              </w:rPr>
            </w:pPr>
          </w:p>
        </w:tc>
      </w:tr>
      <w:tr w:rsidR="00374DF5" w:rsidTr="00374DF5">
        <w:trPr>
          <w:trHeight w:val="144"/>
        </w:trPr>
        <w:tc>
          <w:tcPr>
            <w:tcW w:w="3851" w:type="dxa"/>
            <w:hideMark/>
          </w:tcPr>
          <w:p w:rsidR="00374DF5" w:rsidRDefault="00374DF5">
            <w:pPr>
              <w:rPr>
                <w:rFonts w:cs="Arial"/>
                <w:b/>
                <w:bCs/>
                <w:lang w:val="en-US" w:eastAsia="en-US"/>
              </w:rPr>
            </w:pPr>
            <w:r>
              <w:rPr>
                <w:rFonts w:cs="Arial"/>
                <w:b/>
                <w:bCs/>
                <w:sz w:val="22"/>
                <w:szCs w:val="22"/>
              </w:rPr>
              <w:t>Main duties of the placement</w:t>
            </w:r>
          </w:p>
        </w:tc>
        <w:tc>
          <w:tcPr>
            <w:tcW w:w="4177" w:type="dxa"/>
          </w:tcPr>
          <w:p w:rsidR="00374DF5" w:rsidRDefault="00374DF5">
            <w:pPr>
              <w:jc w:val="both"/>
              <w:rPr>
                <w:rFonts w:cs="Arial"/>
                <w:lang w:val="en-US" w:eastAsia="en-US"/>
              </w:rPr>
            </w:pPr>
            <w:r>
              <w:rPr>
                <w:rFonts w:cs="Arial"/>
              </w:rPr>
              <w:t>Clinical assessment as above, referral to/liaison with appropriate hospital teams, or production of discharge letters to GP.</w:t>
            </w:r>
          </w:p>
          <w:p w:rsidR="00374DF5" w:rsidRDefault="00374DF5">
            <w:pPr>
              <w:jc w:val="both"/>
              <w:rPr>
                <w:rFonts w:cs="Arial"/>
                <w:lang w:val="en-US" w:eastAsia="en-US"/>
              </w:rPr>
            </w:pPr>
          </w:p>
        </w:tc>
      </w:tr>
      <w:tr w:rsidR="00374DF5" w:rsidTr="00374DF5">
        <w:trPr>
          <w:trHeight w:val="144"/>
        </w:trPr>
        <w:tc>
          <w:tcPr>
            <w:tcW w:w="3851" w:type="dxa"/>
            <w:hideMark/>
          </w:tcPr>
          <w:p w:rsidR="00374DF5" w:rsidRDefault="00374DF5">
            <w:pPr>
              <w:jc w:val="both"/>
              <w:rPr>
                <w:rFonts w:cs="Arial"/>
                <w:b/>
                <w:bCs/>
                <w:lang w:val="en-US" w:eastAsia="en-US"/>
              </w:rPr>
            </w:pPr>
            <w:r>
              <w:rPr>
                <w:rFonts w:cs="Arial"/>
                <w:b/>
                <w:bCs/>
                <w:sz w:val="22"/>
                <w:szCs w:val="22"/>
              </w:rPr>
              <w:t>Typical working pattern in this placement</w:t>
            </w:r>
          </w:p>
        </w:tc>
        <w:tc>
          <w:tcPr>
            <w:tcW w:w="4177" w:type="dxa"/>
            <w:hideMark/>
          </w:tcPr>
          <w:p w:rsidR="00374DF5" w:rsidRDefault="00374DF5">
            <w:pPr>
              <w:rPr>
                <w:rFonts w:cs="Arial"/>
                <w:lang w:val="en-US" w:eastAsia="en-US"/>
              </w:rPr>
            </w:pPr>
            <w:r>
              <w:rPr>
                <w:rFonts w:cs="Arial"/>
                <w:sz w:val="22"/>
                <w:szCs w:val="22"/>
              </w:rPr>
              <w:t>A rolling ten week rota that is made up of ten hour shifts including day (8am -6pm), (10am to 8pm), midday (12pm-10pm), late (2pm – 12am), evening (6pm-3am), night (10pm to 8am), and rest days. You work approximately 14 nights in 4 months, and a mixture of the rest where the rota moves progressively to later shifts.</w:t>
            </w:r>
          </w:p>
        </w:tc>
      </w:tr>
      <w:tr w:rsidR="00374DF5" w:rsidTr="00374DF5">
        <w:trPr>
          <w:trHeight w:val="144"/>
        </w:trPr>
        <w:tc>
          <w:tcPr>
            <w:tcW w:w="3851" w:type="dxa"/>
            <w:hideMark/>
          </w:tcPr>
          <w:p w:rsidR="00374DF5" w:rsidRDefault="00374DF5">
            <w:pPr>
              <w:rPr>
                <w:rFonts w:cs="Arial"/>
                <w:b/>
                <w:bCs/>
                <w:lang w:val="en-US" w:eastAsia="en-US"/>
              </w:rPr>
            </w:pPr>
            <w:r>
              <w:rPr>
                <w:rFonts w:cs="Arial"/>
                <w:b/>
                <w:bCs/>
                <w:sz w:val="22"/>
                <w:szCs w:val="22"/>
              </w:rPr>
              <w:t>Employer information</w:t>
            </w:r>
          </w:p>
        </w:tc>
        <w:tc>
          <w:tcPr>
            <w:tcW w:w="4177" w:type="dxa"/>
          </w:tcPr>
          <w:p w:rsidR="00374DF5" w:rsidRDefault="00374DF5">
            <w:pPr>
              <w:pStyle w:val="BodyText"/>
              <w:rPr>
                <w:rFonts w:ascii="Arial" w:hAnsi="Arial" w:cs="Arial"/>
                <w:szCs w:val="22"/>
              </w:rPr>
            </w:pPr>
          </w:p>
          <w:p w:rsidR="00374DF5" w:rsidRDefault="00374DF5">
            <w:pPr>
              <w:pStyle w:val="BodyText"/>
              <w:rPr>
                <w:rFonts w:ascii="Arial" w:hAnsi="Arial" w:cs="Arial"/>
              </w:rPr>
            </w:pPr>
          </w:p>
        </w:tc>
      </w:tr>
    </w:tbl>
    <w:p w:rsidR="00374DF5" w:rsidRDefault="00374DF5" w:rsidP="00374DF5">
      <w:pPr>
        <w:rPr>
          <w:rFonts w:cs="Arial"/>
          <w:sz w:val="22"/>
          <w:szCs w:val="22"/>
          <w:lang w:val="en-US" w:eastAsia="en-US"/>
        </w:rPr>
      </w:pPr>
    </w:p>
    <w:p w:rsidR="00374DF5" w:rsidRDefault="00374DF5" w:rsidP="00374DF5">
      <w:pPr>
        <w:rPr>
          <w:rFonts w:ascii="Cambria" w:hAnsi="Cambria"/>
        </w:rPr>
      </w:pPr>
      <w:r>
        <w:rPr>
          <w:rFonts w:cs="Arial"/>
          <w:sz w:val="22"/>
          <w:szCs w:val="22"/>
        </w:rPr>
        <w:t>It is important to note that this description is a typical example of your placement and may be subject to change.</w:t>
      </w:r>
      <w:r>
        <w:t xml:space="preserve"> </w:t>
      </w:r>
    </w:p>
    <w:p w:rsidR="00DF21D4" w:rsidRPr="00374DF5" w:rsidRDefault="00DF21D4" w:rsidP="00374DF5"/>
    <w:sectPr w:rsidR="00DF21D4" w:rsidRPr="00374DF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2016-09-23T09:50:00Z</dcterms:created>
  <dcterms:modified xsi:type="dcterms:W3CDTF">2016-09-23T09:50:00Z</dcterms:modified>
</cp:coreProperties>
</file>