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BC" w:rsidRDefault="009E11BC" w:rsidP="009E11BC">
      <w:pPr>
        <w:tabs>
          <w:tab w:val="center" w:pos="5040"/>
          <w:tab w:val="right" w:pos="9900"/>
        </w:tabs>
      </w:pPr>
      <w:r>
        <w:t xml:space="preserve"> </w:t>
      </w:r>
      <w:r>
        <w:tab/>
      </w:r>
      <w:r>
        <w:tab/>
      </w:r>
    </w:p>
    <w:p w:rsidR="009E11BC" w:rsidRDefault="009E11BC" w:rsidP="009E11BC">
      <w:pPr>
        <w:jc w:val="center"/>
        <w:rPr>
          <w:rFonts w:cs="Arial"/>
          <w:b/>
          <w:sz w:val="28"/>
          <w:szCs w:val="28"/>
        </w:rPr>
      </w:pPr>
    </w:p>
    <w:p w:rsidR="009E11BC" w:rsidRPr="002C3834" w:rsidRDefault="009E11BC" w:rsidP="009E11BC">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9E11BC" w:rsidRDefault="009E11BC" w:rsidP="009E11BC">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9E11BC" w:rsidRDefault="009E11BC" w:rsidP="009E11BC">
      <w:pPr>
        <w:jc w:val="center"/>
        <w:rPr>
          <w:rFonts w:cs="Arial"/>
          <w:b/>
          <w:sz w:val="28"/>
          <w:szCs w:val="28"/>
        </w:rPr>
      </w:pPr>
    </w:p>
    <w:p w:rsidR="009E11BC" w:rsidRPr="002C3834" w:rsidRDefault="009E11BC" w:rsidP="009E11BC">
      <w:pPr>
        <w:jc w:val="center"/>
        <w:rPr>
          <w:rFonts w:cs="Arial"/>
          <w:b/>
          <w:sz w:val="28"/>
          <w:szCs w:val="28"/>
        </w:rPr>
      </w:pPr>
      <w:r>
        <w:rPr>
          <w:rFonts w:cs="Arial"/>
          <w:b/>
          <w:sz w:val="28"/>
          <w:szCs w:val="28"/>
        </w:rPr>
        <w:t>Ipswich Hospital NHS Trust</w:t>
      </w:r>
    </w:p>
    <w:p w:rsidR="009E11BC" w:rsidRDefault="009E11BC" w:rsidP="009E11BC">
      <w:pPr>
        <w:rPr>
          <w:rFonts w:cs="Arial"/>
          <w:b/>
          <w:sz w:val="22"/>
          <w:szCs w:val="22"/>
        </w:rPr>
      </w:pPr>
    </w:p>
    <w:p w:rsidR="009E11BC" w:rsidRPr="0043462B" w:rsidRDefault="009E11BC" w:rsidP="009E11BC">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9E11BC" w:rsidRDefault="009E11BC" w:rsidP="009E11BC">
      <w:pPr>
        <w:rPr>
          <w:rFonts w:cs="Arial"/>
          <w:b/>
          <w:sz w:val="22"/>
          <w:szCs w:val="22"/>
        </w:rPr>
      </w:pPr>
    </w:p>
    <w:tbl>
      <w:tblPr>
        <w:tblW w:w="8028" w:type="dxa"/>
        <w:tblLook w:val="01E0" w:firstRow="1" w:lastRow="1" w:firstColumn="1" w:lastColumn="1" w:noHBand="0" w:noVBand="0"/>
      </w:tblPr>
      <w:tblGrid>
        <w:gridCol w:w="3936"/>
        <w:gridCol w:w="4092"/>
      </w:tblGrid>
      <w:tr w:rsidR="009E11BC" w:rsidRPr="004F4EE0" w:rsidTr="0069317B">
        <w:trPr>
          <w:trHeight w:val="144"/>
        </w:trPr>
        <w:tc>
          <w:tcPr>
            <w:tcW w:w="3936" w:type="dxa"/>
          </w:tcPr>
          <w:p w:rsidR="009E11BC" w:rsidRPr="004F4EE0" w:rsidRDefault="009E11BC" w:rsidP="0069317B">
            <w:pPr>
              <w:jc w:val="both"/>
              <w:rPr>
                <w:rFonts w:cs="Arial"/>
                <w:b/>
              </w:rPr>
            </w:pPr>
            <w:r>
              <w:rPr>
                <w:rFonts w:cs="Arial"/>
                <w:b/>
                <w:sz w:val="22"/>
                <w:szCs w:val="22"/>
              </w:rPr>
              <w:t>Placement</w:t>
            </w:r>
          </w:p>
        </w:tc>
        <w:tc>
          <w:tcPr>
            <w:tcW w:w="4092" w:type="dxa"/>
          </w:tcPr>
          <w:p w:rsidR="009E11BC" w:rsidRPr="00F909C5" w:rsidRDefault="009E11BC" w:rsidP="0069317B">
            <w:pPr>
              <w:jc w:val="both"/>
              <w:rPr>
                <w:rFonts w:cs="Arial"/>
              </w:rPr>
            </w:pPr>
            <w:r>
              <w:rPr>
                <w:rFonts w:cs="Arial"/>
              </w:rPr>
              <w:t xml:space="preserve">Emergency Medicine </w:t>
            </w:r>
          </w:p>
          <w:p w:rsidR="009E11BC" w:rsidRPr="00F909C5" w:rsidRDefault="009E11BC" w:rsidP="0069317B">
            <w:pPr>
              <w:jc w:val="both"/>
              <w:rPr>
                <w:rFonts w:cs="Arial"/>
              </w:rPr>
            </w:pPr>
          </w:p>
        </w:tc>
      </w:tr>
      <w:tr w:rsidR="009E11BC" w:rsidRPr="004F4EE0" w:rsidTr="0069317B">
        <w:trPr>
          <w:trHeight w:val="144"/>
        </w:trPr>
        <w:tc>
          <w:tcPr>
            <w:tcW w:w="3936" w:type="dxa"/>
          </w:tcPr>
          <w:p w:rsidR="009E11BC" w:rsidRDefault="009E11BC" w:rsidP="0069317B">
            <w:pPr>
              <w:rPr>
                <w:rFonts w:cs="Arial"/>
                <w:b/>
              </w:rPr>
            </w:pPr>
            <w:r>
              <w:rPr>
                <w:rFonts w:cs="Arial"/>
                <w:b/>
                <w:sz w:val="22"/>
                <w:szCs w:val="22"/>
              </w:rPr>
              <w:t>The department</w:t>
            </w:r>
          </w:p>
        </w:tc>
        <w:tc>
          <w:tcPr>
            <w:tcW w:w="4092" w:type="dxa"/>
          </w:tcPr>
          <w:p w:rsidR="009E11BC" w:rsidRDefault="009E11BC" w:rsidP="0069317B">
            <w:pPr>
              <w:rPr>
                <w:rFonts w:cs="Arial"/>
              </w:rPr>
            </w:pPr>
            <w:r>
              <w:rPr>
                <w:rFonts w:cs="Arial"/>
              </w:rPr>
              <w:t>The Emergency Department has just approved funding for 6 Consultants and has operated with middle grade ‘shop floor ‘cover 24/7 since 2006.  The Department moved to the ground floor of a new PFI building, the Garrett Anderson centre in 2008. It has ‘state of the art’ facilities, including a modern spacious resuscitation facility, separate cubicle assessment space for ambulance cases, an ambulatory care area and a security locked children’s assessment and waiting area.</w:t>
            </w:r>
          </w:p>
          <w:p w:rsidR="009E11BC" w:rsidRDefault="009E11BC" w:rsidP="0069317B">
            <w:pPr>
              <w:rPr>
                <w:rFonts w:cs="Arial"/>
              </w:rPr>
            </w:pPr>
          </w:p>
          <w:p w:rsidR="009E11BC" w:rsidRPr="00F909C5" w:rsidRDefault="009E11BC" w:rsidP="0069317B">
            <w:pPr>
              <w:rPr>
                <w:rFonts w:cs="Arial"/>
              </w:rPr>
            </w:pPr>
            <w:r>
              <w:rPr>
                <w:rFonts w:cs="Arial"/>
              </w:rPr>
              <w:t xml:space="preserve">The Department serves East Suffolk with a catchment population of 350,000.  There are 60,000 attendances per year with daily figures that average 170/day fluctuating between 140 </w:t>
            </w:r>
            <w:proofErr w:type="gramStart"/>
            <w:r>
              <w:rPr>
                <w:rFonts w:cs="Arial"/>
              </w:rPr>
              <w:t>-  230</w:t>
            </w:r>
            <w:proofErr w:type="gramEnd"/>
            <w:r>
              <w:rPr>
                <w:rFonts w:cs="Arial"/>
              </w:rPr>
              <w:t xml:space="preserve">/day. We are part of the Regional Trauma Network and expect to be designated a Trauma Unit within this soon to be established system.  We perform Stroke thrombolysis 24/7 and have excellent referral pathways to the 3 nearest Heart Attack Centres and our Regional Neurosurgical Centre.                  </w:t>
            </w:r>
          </w:p>
          <w:p w:rsidR="009E11BC" w:rsidRPr="00F909C5" w:rsidRDefault="009E11BC" w:rsidP="0069317B">
            <w:pPr>
              <w:rPr>
                <w:rFonts w:cs="Arial"/>
              </w:rPr>
            </w:pPr>
          </w:p>
        </w:tc>
      </w:tr>
      <w:tr w:rsidR="009E11BC" w:rsidRPr="004F4EE0" w:rsidTr="0069317B">
        <w:trPr>
          <w:trHeight w:val="144"/>
        </w:trPr>
        <w:tc>
          <w:tcPr>
            <w:tcW w:w="3936" w:type="dxa"/>
          </w:tcPr>
          <w:p w:rsidR="009E11BC" w:rsidRPr="00047073" w:rsidRDefault="009E11BC" w:rsidP="0069317B">
            <w:pPr>
              <w:rPr>
                <w:rFonts w:cs="Arial"/>
                <w:b/>
              </w:rPr>
            </w:pPr>
            <w:r>
              <w:rPr>
                <w:rFonts w:cs="Arial"/>
                <w:b/>
                <w:sz w:val="22"/>
                <w:szCs w:val="22"/>
              </w:rPr>
              <w:t>The type of work to expect and learning opportunities</w:t>
            </w:r>
          </w:p>
        </w:tc>
        <w:tc>
          <w:tcPr>
            <w:tcW w:w="4092" w:type="dxa"/>
          </w:tcPr>
          <w:p w:rsidR="009E11BC" w:rsidRDefault="009E11BC" w:rsidP="0069317B">
            <w:pPr>
              <w:rPr>
                <w:rFonts w:cs="Arial"/>
              </w:rPr>
            </w:pPr>
            <w:r>
              <w:rPr>
                <w:rFonts w:cs="Arial"/>
              </w:rPr>
              <w:t xml:space="preserve">All the work is based in the Emergency Department.  It is a busy unit seeing a broad spectrum of undifferentiated urgent and emergency case work in adults and children.  </w:t>
            </w:r>
          </w:p>
          <w:p w:rsidR="009E11BC" w:rsidRDefault="009E11BC" w:rsidP="0069317B">
            <w:pPr>
              <w:rPr>
                <w:rFonts w:cs="Arial"/>
              </w:rPr>
            </w:pPr>
            <w:r>
              <w:rPr>
                <w:rFonts w:cs="Arial"/>
              </w:rPr>
              <w:lastRenderedPageBreak/>
              <w:t>The F2 supervised work will provide the trainee with the opportunity to gain the knowledge, skills and attitudes to confidently manage an appropriate emergency case load.  In particular,  it will allow development of the following skills –</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Take a history and examine a patient</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Identify and synthesize problems</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Prescribe safely</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Keep an accurate and relevant medical record</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Manage time and clinical priorities effectively</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Communicate effectively with patients relatives and colleagues</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Use evidence, guidelines and audit to benefit patient care</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Act in a professional manner at all times</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Cope with ethical and legal issues which occur during the management of patients</w:t>
            </w:r>
          </w:p>
          <w:p w:rsidR="009E11BC" w:rsidRDefault="009E11BC" w:rsidP="009E11BC">
            <w:pPr>
              <w:pStyle w:val="ListParagraph"/>
              <w:numPr>
                <w:ilvl w:val="0"/>
                <w:numId w:val="21"/>
              </w:numPr>
              <w:spacing w:after="0" w:line="240" w:lineRule="auto"/>
              <w:rPr>
                <w:rFonts w:ascii="Arial" w:hAnsi="Arial" w:cs="Arial"/>
              </w:rPr>
            </w:pPr>
            <w:r>
              <w:rPr>
                <w:rFonts w:ascii="Arial" w:hAnsi="Arial" w:cs="Arial"/>
              </w:rPr>
              <w:t>Educate patients effectively</w:t>
            </w:r>
          </w:p>
          <w:p w:rsidR="009E11BC" w:rsidRPr="00B823FB" w:rsidRDefault="009E11BC" w:rsidP="009E11BC">
            <w:pPr>
              <w:pStyle w:val="ListParagraph"/>
              <w:numPr>
                <w:ilvl w:val="0"/>
                <w:numId w:val="21"/>
              </w:numPr>
              <w:spacing w:after="0" w:line="240" w:lineRule="auto"/>
              <w:rPr>
                <w:rFonts w:ascii="Arial" w:hAnsi="Arial" w:cs="Arial"/>
              </w:rPr>
            </w:pPr>
            <w:r>
              <w:rPr>
                <w:rFonts w:ascii="Arial" w:hAnsi="Arial" w:cs="Arial"/>
              </w:rPr>
              <w:t xml:space="preserve">Become a lifelong learner and teacher   </w:t>
            </w:r>
          </w:p>
          <w:p w:rsidR="009E11BC" w:rsidRPr="00F909C5" w:rsidRDefault="009E11BC" w:rsidP="0069317B">
            <w:pPr>
              <w:rPr>
                <w:rFonts w:cs="Arial"/>
              </w:rPr>
            </w:pPr>
          </w:p>
        </w:tc>
      </w:tr>
      <w:tr w:rsidR="009E11BC" w:rsidRPr="004F4EE0" w:rsidTr="0069317B">
        <w:trPr>
          <w:trHeight w:val="144"/>
        </w:trPr>
        <w:tc>
          <w:tcPr>
            <w:tcW w:w="3936" w:type="dxa"/>
          </w:tcPr>
          <w:p w:rsidR="009E11BC" w:rsidRPr="004F4EE0" w:rsidRDefault="009E11BC" w:rsidP="0069317B">
            <w:pPr>
              <w:jc w:val="both"/>
              <w:rPr>
                <w:rFonts w:cs="Arial"/>
                <w:b/>
              </w:rPr>
            </w:pPr>
            <w:r>
              <w:rPr>
                <w:rFonts w:cs="Arial"/>
                <w:b/>
                <w:sz w:val="22"/>
                <w:szCs w:val="22"/>
              </w:rPr>
              <w:lastRenderedPageBreak/>
              <w:t>Where the placement is based</w:t>
            </w:r>
          </w:p>
        </w:tc>
        <w:tc>
          <w:tcPr>
            <w:tcW w:w="4092" w:type="dxa"/>
          </w:tcPr>
          <w:p w:rsidR="009E11BC" w:rsidRDefault="009E11BC" w:rsidP="0069317B">
            <w:pPr>
              <w:jc w:val="both"/>
              <w:rPr>
                <w:rFonts w:cs="Arial"/>
              </w:rPr>
            </w:pPr>
            <w:r>
              <w:rPr>
                <w:rFonts w:cs="Arial"/>
              </w:rPr>
              <w:t xml:space="preserve">Emergency Department, </w:t>
            </w:r>
          </w:p>
          <w:p w:rsidR="009E11BC" w:rsidRPr="00F909C5" w:rsidRDefault="009E11BC" w:rsidP="0069317B">
            <w:pPr>
              <w:jc w:val="both"/>
              <w:rPr>
                <w:rFonts w:cs="Arial"/>
              </w:rPr>
            </w:pPr>
            <w:r>
              <w:rPr>
                <w:rFonts w:cs="Arial"/>
              </w:rPr>
              <w:t xml:space="preserve">Ipswich hospital NHS Trust  </w:t>
            </w:r>
          </w:p>
          <w:p w:rsidR="009E11BC" w:rsidRPr="00F909C5" w:rsidRDefault="009E11BC" w:rsidP="0069317B">
            <w:pPr>
              <w:jc w:val="both"/>
              <w:rPr>
                <w:rFonts w:cs="Arial"/>
              </w:rPr>
            </w:pPr>
          </w:p>
        </w:tc>
      </w:tr>
      <w:tr w:rsidR="009E11BC" w:rsidRPr="004F4EE0" w:rsidTr="0069317B">
        <w:trPr>
          <w:trHeight w:val="144"/>
        </w:trPr>
        <w:tc>
          <w:tcPr>
            <w:tcW w:w="3936" w:type="dxa"/>
          </w:tcPr>
          <w:p w:rsidR="009E11BC" w:rsidRDefault="009E11BC" w:rsidP="0069317B">
            <w:pPr>
              <w:jc w:val="both"/>
              <w:rPr>
                <w:rFonts w:cs="Arial"/>
                <w:b/>
              </w:rPr>
            </w:pPr>
            <w:r>
              <w:rPr>
                <w:rFonts w:cs="Arial"/>
                <w:b/>
                <w:sz w:val="22"/>
                <w:szCs w:val="22"/>
              </w:rPr>
              <w:t>Clinical Supervisor(s) for the placement</w:t>
            </w:r>
          </w:p>
        </w:tc>
        <w:tc>
          <w:tcPr>
            <w:tcW w:w="4092" w:type="dxa"/>
          </w:tcPr>
          <w:p w:rsidR="009E11BC" w:rsidRPr="00F909C5" w:rsidRDefault="009E11BC" w:rsidP="0069317B">
            <w:pPr>
              <w:jc w:val="both"/>
              <w:rPr>
                <w:rFonts w:cs="Arial"/>
              </w:rPr>
            </w:pPr>
            <w:r>
              <w:rPr>
                <w:rFonts w:cs="Arial"/>
              </w:rPr>
              <w:t>All the consultants are involved in the clinical supervision of F2 posts.</w:t>
            </w:r>
          </w:p>
          <w:p w:rsidR="009E11BC" w:rsidRPr="00F909C5" w:rsidRDefault="009E11BC" w:rsidP="0069317B">
            <w:pPr>
              <w:jc w:val="both"/>
              <w:rPr>
                <w:rFonts w:cs="Arial"/>
              </w:rPr>
            </w:pPr>
          </w:p>
        </w:tc>
      </w:tr>
      <w:tr w:rsidR="009E11BC" w:rsidRPr="004F4EE0" w:rsidTr="0069317B">
        <w:trPr>
          <w:trHeight w:val="144"/>
        </w:trPr>
        <w:tc>
          <w:tcPr>
            <w:tcW w:w="3936" w:type="dxa"/>
          </w:tcPr>
          <w:p w:rsidR="009E11BC" w:rsidRDefault="009E11BC" w:rsidP="0069317B">
            <w:pPr>
              <w:rPr>
                <w:rFonts w:cs="Arial"/>
                <w:b/>
              </w:rPr>
            </w:pPr>
            <w:r>
              <w:rPr>
                <w:rFonts w:cs="Arial"/>
                <w:b/>
                <w:sz w:val="22"/>
                <w:szCs w:val="22"/>
              </w:rPr>
              <w:t>Main duties of the placement</w:t>
            </w:r>
          </w:p>
        </w:tc>
        <w:tc>
          <w:tcPr>
            <w:tcW w:w="4092" w:type="dxa"/>
          </w:tcPr>
          <w:p w:rsidR="009E11BC" w:rsidRPr="00F909C5" w:rsidRDefault="009E11BC" w:rsidP="0069317B">
            <w:pPr>
              <w:jc w:val="both"/>
              <w:rPr>
                <w:rFonts w:cs="Arial"/>
              </w:rPr>
            </w:pPr>
            <w:r>
              <w:rPr>
                <w:rFonts w:cs="Arial"/>
              </w:rPr>
              <w:t xml:space="preserve">To work in a consultant supervised environment with the Emergency Department team to appropriately diagnose, treat and advise any patient presenting to the service.     </w:t>
            </w:r>
          </w:p>
          <w:p w:rsidR="009E11BC" w:rsidRPr="00F909C5" w:rsidRDefault="009E11BC" w:rsidP="0069317B">
            <w:pPr>
              <w:jc w:val="both"/>
              <w:rPr>
                <w:rFonts w:cs="Arial"/>
              </w:rPr>
            </w:pPr>
          </w:p>
        </w:tc>
      </w:tr>
      <w:tr w:rsidR="009E11BC" w:rsidRPr="004F4EE0" w:rsidTr="0069317B">
        <w:trPr>
          <w:trHeight w:val="144"/>
        </w:trPr>
        <w:tc>
          <w:tcPr>
            <w:tcW w:w="3936" w:type="dxa"/>
          </w:tcPr>
          <w:p w:rsidR="009E11BC" w:rsidRDefault="009E11BC" w:rsidP="0069317B">
            <w:pPr>
              <w:jc w:val="both"/>
              <w:rPr>
                <w:rFonts w:cs="Arial"/>
                <w:b/>
              </w:rPr>
            </w:pPr>
            <w:r>
              <w:rPr>
                <w:rFonts w:cs="Arial"/>
                <w:b/>
                <w:sz w:val="22"/>
                <w:szCs w:val="22"/>
              </w:rPr>
              <w:t>Typical working pattern in this placement</w:t>
            </w:r>
          </w:p>
        </w:tc>
        <w:tc>
          <w:tcPr>
            <w:tcW w:w="4092" w:type="dxa"/>
          </w:tcPr>
          <w:p w:rsidR="009E11BC" w:rsidRPr="00601C28" w:rsidRDefault="009E11BC" w:rsidP="0069317B">
            <w:pPr>
              <w:rPr>
                <w:rFonts w:cs="Arial"/>
              </w:rPr>
            </w:pPr>
            <w:r w:rsidRPr="00601C28">
              <w:rPr>
                <w:rFonts w:cs="Arial"/>
              </w:rPr>
              <w:t>The work pattern involves 4</w:t>
            </w:r>
            <w:r>
              <w:rPr>
                <w:rFonts w:cs="Arial"/>
              </w:rPr>
              <w:t>8</w:t>
            </w:r>
            <w:r w:rsidRPr="00601C28">
              <w:rPr>
                <w:rFonts w:cs="Arial"/>
              </w:rPr>
              <w:t xml:space="preserve"> hours per week including </w:t>
            </w:r>
            <w:r>
              <w:rPr>
                <w:rFonts w:cs="Arial"/>
              </w:rPr>
              <w:t>2.5</w:t>
            </w:r>
            <w:r w:rsidRPr="00601C28">
              <w:rPr>
                <w:rFonts w:cs="Arial"/>
              </w:rPr>
              <w:t xml:space="preserve"> hours protected teaching.  It is full shift, on a rolling 9 week rotation.  The week of nights are split.                </w:t>
            </w:r>
          </w:p>
          <w:p w:rsidR="009E11BC" w:rsidRDefault="009E11BC" w:rsidP="0069317B">
            <w:pPr>
              <w:rPr>
                <w:rFonts w:cs="Arial"/>
              </w:rPr>
            </w:pPr>
          </w:p>
          <w:p w:rsidR="009E11BC" w:rsidRPr="00F909C5" w:rsidRDefault="009E11BC" w:rsidP="0069317B">
            <w:pPr>
              <w:rPr>
                <w:rFonts w:cs="Arial"/>
              </w:rPr>
            </w:pPr>
            <w:bookmarkStart w:id="0" w:name="_GoBack"/>
            <w:bookmarkEnd w:id="0"/>
          </w:p>
          <w:p w:rsidR="009E11BC" w:rsidRPr="00F909C5" w:rsidRDefault="009E11BC" w:rsidP="0069317B">
            <w:pPr>
              <w:rPr>
                <w:rFonts w:cs="Arial"/>
              </w:rPr>
            </w:pPr>
            <w:r w:rsidRPr="00F909C5">
              <w:rPr>
                <w:rFonts w:cs="Arial"/>
                <w:sz w:val="22"/>
                <w:szCs w:val="22"/>
              </w:rPr>
              <w:t xml:space="preserve"> </w:t>
            </w:r>
          </w:p>
        </w:tc>
      </w:tr>
      <w:tr w:rsidR="009E11BC" w:rsidRPr="004F4EE0" w:rsidTr="0069317B">
        <w:trPr>
          <w:trHeight w:val="144"/>
        </w:trPr>
        <w:tc>
          <w:tcPr>
            <w:tcW w:w="3936" w:type="dxa"/>
          </w:tcPr>
          <w:p w:rsidR="009E11BC" w:rsidRPr="00C70B03" w:rsidRDefault="009E11BC" w:rsidP="0069317B">
            <w:pPr>
              <w:rPr>
                <w:rFonts w:cs="Arial"/>
                <w:b/>
              </w:rPr>
            </w:pPr>
            <w:r>
              <w:rPr>
                <w:rFonts w:cs="Arial"/>
                <w:b/>
                <w:sz w:val="22"/>
                <w:szCs w:val="22"/>
              </w:rPr>
              <w:lastRenderedPageBreak/>
              <w:t>Employer information</w:t>
            </w:r>
          </w:p>
        </w:tc>
        <w:tc>
          <w:tcPr>
            <w:tcW w:w="4092" w:type="dxa"/>
          </w:tcPr>
          <w:p w:rsidR="009E11BC" w:rsidRPr="005F5E9F" w:rsidRDefault="009E11BC" w:rsidP="0069317B">
            <w:pPr>
              <w:pStyle w:val="BodyText"/>
              <w:rPr>
                <w:rFonts w:ascii="Arial" w:hAnsi="Arial" w:cs="Arial"/>
                <w:szCs w:val="22"/>
              </w:rPr>
            </w:pPr>
            <w:r w:rsidRPr="005F5E9F">
              <w:rPr>
                <w:rFonts w:ascii="Arial" w:hAnsi="Arial" w:cs="Arial"/>
                <w:szCs w:val="22"/>
              </w:rPr>
              <w:t>The Ipswich Hospital NHS trust is situated on the edge of Ipswich, County town of Suffolk. It has appr</w:t>
            </w:r>
            <w:r>
              <w:rPr>
                <w:rFonts w:ascii="Arial" w:hAnsi="Arial" w:cs="Arial"/>
                <w:szCs w:val="22"/>
              </w:rPr>
              <w:t>oximately 550 beds and covers a mixed</w:t>
            </w:r>
            <w:r w:rsidRPr="005F5E9F">
              <w:rPr>
                <w:rFonts w:ascii="Arial" w:hAnsi="Arial" w:cs="Arial"/>
                <w:szCs w:val="22"/>
              </w:rPr>
              <w:t xml:space="preserve"> urban and rural population of 360000 people. The hospital is close to beautiful countryside and the Suffolk Heritage Coast but has easy links to London (j</w:t>
            </w:r>
            <w:r>
              <w:rPr>
                <w:rFonts w:ascii="Arial" w:hAnsi="Arial" w:cs="Arial"/>
                <w:szCs w:val="22"/>
              </w:rPr>
              <w:t>ust over an hour by train). The</w:t>
            </w:r>
            <w:r w:rsidRPr="005F5E9F">
              <w:rPr>
                <w:rFonts w:ascii="Arial" w:hAnsi="Arial" w:cs="Arial"/>
                <w:szCs w:val="22"/>
              </w:rPr>
              <w:t xml:space="preserve"> hospital has a full range of diagnostic facilities and a well-resourced library and postgraduate centre.</w:t>
            </w:r>
          </w:p>
          <w:p w:rsidR="009E11BC" w:rsidRPr="00F909C5" w:rsidRDefault="009E11BC" w:rsidP="0069317B">
            <w:pPr>
              <w:pStyle w:val="BodyText"/>
              <w:rPr>
                <w:rFonts w:ascii="Arial" w:hAnsi="Arial" w:cs="Arial"/>
                <w:szCs w:val="22"/>
              </w:rPr>
            </w:pPr>
          </w:p>
        </w:tc>
      </w:tr>
    </w:tbl>
    <w:p w:rsidR="009E11BC" w:rsidRDefault="009E11BC" w:rsidP="009E11BC">
      <w:pPr>
        <w:rPr>
          <w:rFonts w:cs="Arial"/>
          <w:sz w:val="22"/>
          <w:szCs w:val="22"/>
        </w:rPr>
      </w:pPr>
    </w:p>
    <w:p w:rsidR="009E11BC" w:rsidRDefault="009E11BC" w:rsidP="009E11BC">
      <w:r>
        <w:t>It is important to note that this description is a typical example of your placement and may be subject to change.</w:t>
      </w:r>
    </w:p>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 w:rsidR="009E11BC" w:rsidRDefault="009E11BC" w:rsidP="009E11BC">
      <w:pPr>
        <w:tabs>
          <w:tab w:val="center" w:pos="5040"/>
          <w:tab w:val="right" w:pos="9900"/>
        </w:tabs>
      </w:pPr>
      <w:r w:rsidRPr="0099533F">
        <w:rPr>
          <w:noProof/>
        </w:rPr>
        <w:drawing>
          <wp:inline distT="0" distB="0" distL="0" distR="0" wp14:anchorId="7FF8CEE6" wp14:editId="072657BA">
            <wp:extent cx="1676400" cy="579887"/>
            <wp:effectExtent l="19050" t="0" r="0" b="0"/>
            <wp:docPr id="12" name="Picture 2"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S Logo.jpg"/>
                    <pic:cNvPicPr/>
                  </pic:nvPicPr>
                  <pic:blipFill>
                    <a:blip r:embed="rId8" cstate="print"/>
                    <a:stretch>
                      <a:fillRect/>
                    </a:stretch>
                  </pic:blipFill>
                  <pic:spPr>
                    <a:xfrm>
                      <a:off x="0" y="0"/>
                      <a:ext cx="1684202" cy="582586"/>
                    </a:xfrm>
                    <a:prstGeom prst="rect">
                      <a:avLst/>
                    </a:prstGeom>
                  </pic:spPr>
                </pic:pic>
              </a:graphicData>
            </a:graphic>
          </wp:inline>
        </w:drawing>
      </w:r>
      <w:r>
        <w:tab/>
      </w:r>
      <w:r>
        <w:object w:dxaOrig="240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5pt;height:54.75pt" o:ole="">
            <v:imagedata r:id="rId9" o:title=""/>
          </v:shape>
          <o:OLEObject Type="Embed" ProgID="MSPhotoEd.3" ShapeID="_x0000_i1028" DrawAspect="Content" ObjectID="_1536059682" r:id="rId10"/>
        </w:object>
      </w:r>
      <w:r>
        <w:tab/>
      </w:r>
      <w:r w:rsidRPr="0099533F">
        <w:rPr>
          <w:noProof/>
        </w:rPr>
        <w:drawing>
          <wp:inline distT="0" distB="0" distL="0" distR="0" wp14:anchorId="65002BF2" wp14:editId="52A2D7A7">
            <wp:extent cx="1410335" cy="782786"/>
            <wp:effectExtent l="19050" t="0" r="0" b="0"/>
            <wp:docPr id="13"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 small.jpg"/>
                    <pic:cNvPicPr/>
                  </pic:nvPicPr>
                  <pic:blipFill>
                    <a:blip r:embed="rId11" cstate="print"/>
                    <a:stretch>
                      <a:fillRect/>
                    </a:stretch>
                  </pic:blipFill>
                  <pic:spPr>
                    <a:xfrm>
                      <a:off x="0" y="0"/>
                      <a:ext cx="1421234" cy="788835"/>
                    </a:xfrm>
                    <a:prstGeom prst="rect">
                      <a:avLst/>
                    </a:prstGeom>
                  </pic:spPr>
                </pic:pic>
              </a:graphicData>
            </a:graphic>
          </wp:inline>
        </w:drawing>
      </w:r>
    </w:p>
    <w:p w:rsidR="009E11BC" w:rsidRDefault="009E11BC" w:rsidP="009E11BC">
      <w:pPr>
        <w:jc w:val="center"/>
        <w:rPr>
          <w:rFonts w:cs="Arial"/>
          <w:b/>
          <w:sz w:val="28"/>
          <w:szCs w:val="28"/>
        </w:rPr>
      </w:pPr>
    </w:p>
    <w:p w:rsidR="009E11BC" w:rsidRPr="00EB538A" w:rsidRDefault="009E11BC" w:rsidP="009E11BC">
      <w:pPr>
        <w:jc w:val="center"/>
        <w:rPr>
          <w:rFonts w:cs="Arial"/>
          <w:b/>
          <w:sz w:val="28"/>
          <w:szCs w:val="28"/>
        </w:rPr>
      </w:pPr>
      <w:r>
        <w:rPr>
          <w:rFonts w:cs="Arial"/>
          <w:b/>
          <w:sz w:val="28"/>
          <w:szCs w:val="28"/>
        </w:rPr>
        <w:t xml:space="preserve">South Standard </w:t>
      </w:r>
      <w:r w:rsidRPr="00EB538A">
        <w:rPr>
          <w:rFonts w:cs="Arial"/>
          <w:b/>
          <w:sz w:val="28"/>
          <w:szCs w:val="28"/>
        </w:rPr>
        <w:t>Foundation School</w:t>
      </w:r>
    </w:p>
    <w:p w:rsidR="009E11BC" w:rsidRDefault="009E11BC" w:rsidP="009E11BC">
      <w:pPr>
        <w:jc w:val="center"/>
        <w:rPr>
          <w:rFonts w:cs="Arial"/>
          <w:b/>
          <w:sz w:val="28"/>
          <w:szCs w:val="28"/>
        </w:rPr>
      </w:pPr>
      <w:r>
        <w:rPr>
          <w:rFonts w:cs="Arial"/>
          <w:b/>
          <w:sz w:val="28"/>
          <w:szCs w:val="28"/>
        </w:rPr>
        <w:t>Individual Placement</w:t>
      </w:r>
      <w:r w:rsidRPr="00EB538A">
        <w:rPr>
          <w:rFonts w:cs="Arial"/>
          <w:b/>
          <w:sz w:val="28"/>
          <w:szCs w:val="28"/>
        </w:rPr>
        <w:t xml:space="preserve"> Description </w:t>
      </w:r>
    </w:p>
    <w:p w:rsidR="00DF21D4" w:rsidRPr="009E11BC" w:rsidRDefault="00DF21D4" w:rsidP="009E11BC"/>
    <w:sectPr w:rsidR="00DF21D4" w:rsidRPr="009E11BC" w:rsidSect="00925F85">
      <w:headerReference w:type="default" r:id="rId12"/>
      <w:footerReference w:type="default" r:id="rId13"/>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11"/>
  </w:num>
  <w:num w:numId="4">
    <w:abstractNumId w:val="3"/>
  </w:num>
  <w:num w:numId="5">
    <w:abstractNumId w:val="12"/>
  </w:num>
  <w:num w:numId="6">
    <w:abstractNumId w:val="13"/>
  </w:num>
  <w:num w:numId="7">
    <w:abstractNumId w:val="6"/>
  </w:num>
  <w:num w:numId="8">
    <w:abstractNumId w:val="10"/>
  </w:num>
  <w:num w:numId="9">
    <w:abstractNumId w:val="4"/>
  </w:num>
  <w:num w:numId="10">
    <w:abstractNumId w:val="1"/>
  </w:num>
  <w:num w:numId="11">
    <w:abstractNumId w:val="10"/>
  </w:num>
  <w:num w:numId="12">
    <w:abstractNumId w:val="6"/>
  </w:num>
  <w:num w:numId="13">
    <w:abstractNumId w:val="8"/>
  </w:num>
  <w:num w:numId="14">
    <w:abstractNumId w:val="10"/>
  </w:num>
  <w:num w:numId="15">
    <w:abstractNumId w:val="6"/>
  </w:num>
  <w:num w:numId="16">
    <w:abstractNumId w:val="5"/>
  </w:num>
  <w:num w:numId="17">
    <w:abstractNumId w:val="10"/>
  </w:num>
  <w:num w:numId="18">
    <w:abstractNumId w:val="6"/>
  </w:num>
  <w:num w:numId="19">
    <w:abstractNumId w:val="2"/>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43CB"/>
    <w:rsid w:val="00204618"/>
    <w:rsid w:val="003520AB"/>
    <w:rsid w:val="00363F01"/>
    <w:rsid w:val="003963AC"/>
    <w:rsid w:val="00472B89"/>
    <w:rsid w:val="00495A12"/>
    <w:rsid w:val="00524ED1"/>
    <w:rsid w:val="005966EF"/>
    <w:rsid w:val="005F73FC"/>
    <w:rsid w:val="007950BD"/>
    <w:rsid w:val="007D3008"/>
    <w:rsid w:val="00803B90"/>
    <w:rsid w:val="008206BB"/>
    <w:rsid w:val="0085290E"/>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2016-09-22T13:26:00Z</dcterms:created>
  <dcterms:modified xsi:type="dcterms:W3CDTF">2016-09-22T13:26:00Z</dcterms:modified>
</cp:coreProperties>
</file>