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DA94E" w14:textId="77777777" w:rsidR="007F244A" w:rsidRDefault="007F244A" w:rsidP="0038557A">
      <w:pPr>
        <w:tabs>
          <w:tab w:val="center" w:pos="5040"/>
          <w:tab w:val="right" w:pos="9900"/>
        </w:tabs>
        <w:jc w:val="right"/>
        <w:rPr>
          <w:lang w:val="en-GB"/>
        </w:rPr>
      </w:pPr>
    </w:p>
    <w:p w14:paraId="7AF47BDD" w14:textId="1040D61C" w:rsidR="001A595D" w:rsidRDefault="001A595D" w:rsidP="007F24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Essex, Beds and Herts Foundation School Individual Placement</w:t>
      </w:r>
    </w:p>
    <w:p w14:paraId="31751949" w14:textId="3167ECCF" w:rsidR="007F244A" w:rsidRPr="00FA46CC" w:rsidRDefault="007F244A" w:rsidP="007F24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Health Education East of England - </w:t>
      </w:r>
      <w:proofErr w:type="spellStart"/>
      <w:r>
        <w:rPr>
          <w:rFonts w:ascii="Arial" w:hAnsi="Arial" w:cs="Arial"/>
          <w:b/>
        </w:rPr>
        <w:t>FoundationTraining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Programme</w:t>
      </w:r>
      <w:proofErr w:type="spellEnd"/>
    </w:p>
    <w:p w14:paraId="7457DA69" w14:textId="77777777" w:rsidR="007F244A" w:rsidRPr="00FA46CC" w:rsidRDefault="007F244A" w:rsidP="007F244A">
      <w:pPr>
        <w:jc w:val="center"/>
        <w:rPr>
          <w:rFonts w:ascii="Arial" w:hAnsi="Arial" w:cs="Arial"/>
          <w:sz w:val="22"/>
          <w:szCs w:val="22"/>
        </w:rPr>
      </w:pPr>
      <w:r w:rsidRPr="00FA46CC">
        <w:rPr>
          <w:rFonts w:ascii="Arial" w:hAnsi="Arial" w:cs="Arial"/>
          <w:sz w:val="22"/>
          <w:szCs w:val="22"/>
        </w:rPr>
        <w:t xml:space="preserve">Individual Placement Description </w:t>
      </w:r>
      <w:r>
        <w:rPr>
          <w:rFonts w:ascii="Arial" w:hAnsi="Arial" w:cs="Arial"/>
          <w:sz w:val="22"/>
          <w:szCs w:val="22"/>
        </w:rPr>
        <w:t xml:space="preserve">- </w:t>
      </w:r>
      <w:r w:rsidRPr="00FA46CC">
        <w:rPr>
          <w:rFonts w:ascii="Arial" w:hAnsi="Arial" w:cs="Arial"/>
          <w:sz w:val="22"/>
          <w:szCs w:val="22"/>
        </w:rPr>
        <w:t>West Hertfordshire Hospitals NHS Trust</w:t>
      </w:r>
    </w:p>
    <w:p w14:paraId="6962E6A1" w14:textId="77777777" w:rsidR="00CF2557" w:rsidRPr="00E021A8" w:rsidRDefault="00CF2557" w:rsidP="0038557A">
      <w:pPr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789"/>
      </w:tblGrid>
      <w:tr w:rsidR="00CF2557" w:rsidRPr="00E021A8" w14:paraId="7AF82673" w14:textId="77777777" w:rsidTr="00E85A32">
        <w:trPr>
          <w:trHeight w:val="144"/>
        </w:trPr>
        <w:tc>
          <w:tcPr>
            <w:tcW w:w="1809" w:type="dxa"/>
          </w:tcPr>
          <w:p w14:paraId="12368B54" w14:textId="77777777" w:rsidR="00CF2557" w:rsidRPr="00E021A8" w:rsidRDefault="00CF2557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Placement </w:t>
            </w:r>
          </w:p>
        </w:tc>
        <w:tc>
          <w:tcPr>
            <w:tcW w:w="8789" w:type="dxa"/>
          </w:tcPr>
          <w:p w14:paraId="518BCB04" w14:textId="77777777" w:rsidR="005748FE" w:rsidRPr="00E021A8" w:rsidRDefault="003938FD" w:rsidP="004E6B5D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b/>
                <w:sz w:val="22"/>
                <w:szCs w:val="22"/>
                <w:lang w:val="en-GB"/>
              </w:rPr>
              <w:t>F2 General Psychiatry</w:t>
            </w:r>
            <w:r w:rsidR="004D730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- CATT</w:t>
            </w:r>
          </w:p>
        </w:tc>
      </w:tr>
      <w:tr w:rsidR="00CF2557" w:rsidRPr="00E021A8" w14:paraId="40CC9EA1" w14:textId="77777777" w:rsidTr="00E85A32">
        <w:trPr>
          <w:trHeight w:val="144"/>
        </w:trPr>
        <w:tc>
          <w:tcPr>
            <w:tcW w:w="1809" w:type="dxa"/>
          </w:tcPr>
          <w:p w14:paraId="1CE80D5B" w14:textId="77777777" w:rsidR="00CF2557" w:rsidRPr="00E021A8" w:rsidRDefault="00CF2557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b/>
                <w:sz w:val="22"/>
                <w:szCs w:val="22"/>
                <w:lang w:val="en-GB"/>
              </w:rPr>
              <w:t>The department</w:t>
            </w:r>
          </w:p>
        </w:tc>
        <w:tc>
          <w:tcPr>
            <w:tcW w:w="8789" w:type="dxa"/>
          </w:tcPr>
          <w:p w14:paraId="0D550E0A" w14:textId="77777777" w:rsidR="00E85A32" w:rsidRPr="00E021A8" w:rsidRDefault="003938FD" w:rsidP="00E85A3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sz w:val="22"/>
                <w:szCs w:val="22"/>
                <w:lang w:val="en-GB"/>
              </w:rPr>
              <w:t>Psychiatry</w:t>
            </w:r>
          </w:p>
          <w:p w14:paraId="13084F08" w14:textId="77777777" w:rsidR="005748FE" w:rsidRPr="00E021A8" w:rsidRDefault="005748FE" w:rsidP="00E85A3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E6B5D" w:rsidRPr="00E021A8" w14:paraId="364ED989" w14:textId="77777777" w:rsidTr="007F244A">
        <w:trPr>
          <w:trHeight w:val="144"/>
        </w:trPr>
        <w:tc>
          <w:tcPr>
            <w:tcW w:w="1809" w:type="dxa"/>
          </w:tcPr>
          <w:p w14:paraId="04EE4D39" w14:textId="77777777" w:rsidR="004E6B5D" w:rsidRPr="00E021A8" w:rsidRDefault="007F244A" w:rsidP="007F244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Trust &amp; location</w:t>
            </w:r>
          </w:p>
        </w:tc>
        <w:tc>
          <w:tcPr>
            <w:tcW w:w="8789" w:type="dxa"/>
          </w:tcPr>
          <w:p w14:paraId="4515492A" w14:textId="77777777" w:rsidR="004E6B5D" w:rsidRPr="00E021A8" w:rsidRDefault="004E6B5D" w:rsidP="007F244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sz w:val="22"/>
                <w:szCs w:val="22"/>
                <w:lang w:val="en-GB"/>
              </w:rPr>
              <w:t>West Hertfordshire Hospitals NHS Trust</w:t>
            </w:r>
          </w:p>
          <w:p w14:paraId="5CA4B8B5" w14:textId="77777777" w:rsidR="004E6B5D" w:rsidRPr="00E021A8" w:rsidRDefault="007F244A" w:rsidP="007F244A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Colne House, Watford</w:t>
            </w:r>
          </w:p>
        </w:tc>
      </w:tr>
      <w:tr w:rsidR="00CF2557" w:rsidRPr="00E021A8" w14:paraId="2A9AC0E8" w14:textId="77777777" w:rsidTr="00E85A32">
        <w:trPr>
          <w:trHeight w:val="144"/>
        </w:trPr>
        <w:tc>
          <w:tcPr>
            <w:tcW w:w="1809" w:type="dxa"/>
          </w:tcPr>
          <w:p w14:paraId="09FC3830" w14:textId="77777777" w:rsidR="00CF2557" w:rsidRPr="00E021A8" w:rsidRDefault="00CF2557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b/>
                <w:sz w:val="22"/>
                <w:szCs w:val="22"/>
                <w:lang w:val="en-GB"/>
              </w:rPr>
              <w:t>The type of work to expect and learning opportunities</w:t>
            </w:r>
          </w:p>
        </w:tc>
        <w:tc>
          <w:tcPr>
            <w:tcW w:w="8789" w:type="dxa"/>
          </w:tcPr>
          <w:p w14:paraId="2C042DA1" w14:textId="77777777" w:rsidR="003938FD" w:rsidRPr="00E021A8" w:rsidRDefault="003938FD" w:rsidP="002C4F43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sz w:val="22"/>
                <w:szCs w:val="22"/>
                <w:lang w:val="en-GB"/>
              </w:rPr>
              <w:t>General adult psychiatry within CATT (Crisis and Acute Treatment Team). Part of a team usually visiting patients at their homes. Also includes on call duties as psychiatry liaison to Watford General Hospital A+E and wards.</w:t>
            </w:r>
          </w:p>
          <w:p w14:paraId="37574910" w14:textId="77777777" w:rsidR="00CF2557" w:rsidRPr="00E021A8" w:rsidRDefault="003938FD" w:rsidP="007F244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sz w:val="22"/>
                <w:szCs w:val="22"/>
                <w:lang w:val="en-GB"/>
              </w:rPr>
              <w:t>Learning opportunities: Expect exposure to a wide variety of acute psychiatric presentations. Learn to take a full psychiatric history and perform a comprehensive mental state examination. Become familiar with prescribing psychotropic medication, and with the Mental Health and Mental Capacity Acts. Opportunity to perform electroconvulsive therapy.</w:t>
            </w:r>
          </w:p>
        </w:tc>
      </w:tr>
      <w:tr w:rsidR="00CF2557" w:rsidRPr="00E021A8" w14:paraId="5992E0B9" w14:textId="77777777" w:rsidTr="00E85A32">
        <w:trPr>
          <w:trHeight w:val="144"/>
        </w:trPr>
        <w:tc>
          <w:tcPr>
            <w:tcW w:w="1809" w:type="dxa"/>
          </w:tcPr>
          <w:p w14:paraId="0DE752CF" w14:textId="77777777" w:rsidR="00CF2557" w:rsidRPr="00E021A8" w:rsidRDefault="00CF2557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b/>
                <w:sz w:val="22"/>
                <w:szCs w:val="22"/>
                <w:lang w:val="en-GB"/>
              </w:rPr>
              <w:t>Supervisor(s)</w:t>
            </w:r>
          </w:p>
        </w:tc>
        <w:tc>
          <w:tcPr>
            <w:tcW w:w="8789" w:type="dxa"/>
          </w:tcPr>
          <w:p w14:paraId="7E609075" w14:textId="77777777" w:rsidR="005748FE" w:rsidRPr="00E021A8" w:rsidRDefault="003938FD" w:rsidP="00EA69F7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sz w:val="22"/>
                <w:szCs w:val="22"/>
                <w:lang w:val="en-GB"/>
              </w:rPr>
              <w:t xml:space="preserve">Dr </w:t>
            </w:r>
            <w:r w:rsidR="00EA69F7">
              <w:rPr>
                <w:rFonts w:ascii="Arial" w:hAnsi="Arial" w:cs="Arial"/>
                <w:sz w:val="22"/>
                <w:szCs w:val="22"/>
                <w:lang w:val="en-GB"/>
              </w:rPr>
              <w:t>Mariam Omar</w:t>
            </w:r>
          </w:p>
        </w:tc>
      </w:tr>
      <w:tr w:rsidR="003938FD" w:rsidRPr="00E021A8" w14:paraId="0E05FA15" w14:textId="77777777" w:rsidTr="00E85A32">
        <w:trPr>
          <w:trHeight w:val="144"/>
        </w:trPr>
        <w:tc>
          <w:tcPr>
            <w:tcW w:w="1809" w:type="dxa"/>
          </w:tcPr>
          <w:p w14:paraId="72C3FBBC" w14:textId="77777777" w:rsidR="003938FD" w:rsidRPr="00E021A8" w:rsidRDefault="003938FD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b/>
                <w:sz w:val="22"/>
                <w:szCs w:val="22"/>
                <w:lang w:val="en-GB"/>
              </w:rPr>
              <w:t>Main duties of the placement</w:t>
            </w:r>
          </w:p>
        </w:tc>
        <w:tc>
          <w:tcPr>
            <w:tcW w:w="8789" w:type="dxa"/>
          </w:tcPr>
          <w:p w14:paraId="639D5607" w14:textId="77777777" w:rsidR="003938FD" w:rsidRPr="00E021A8" w:rsidRDefault="003938FD" w:rsidP="00EA69F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sz w:val="22"/>
                <w:szCs w:val="22"/>
                <w:lang w:val="en-GB"/>
              </w:rPr>
              <w:t>Assessment and monitoring of psychiatric patients. Prescribing. Administrative duties e.g. writing discharge summaries.</w:t>
            </w:r>
          </w:p>
          <w:p w14:paraId="25FA38C4" w14:textId="77777777" w:rsidR="003938FD" w:rsidRPr="00E021A8" w:rsidRDefault="003938FD" w:rsidP="00EA69F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sz w:val="22"/>
                <w:szCs w:val="22"/>
                <w:lang w:val="en-GB"/>
              </w:rPr>
              <w:t>On call duties involve liaison to A+E and wards, and covering several inpatient psychiatric units in the region, e.g. for admission of new patients or for prescription of medication for rapid tranquilisation of acutely disturbed patients.</w:t>
            </w:r>
          </w:p>
          <w:p w14:paraId="0B60721A" w14:textId="77777777" w:rsidR="003938FD" w:rsidRPr="00E021A8" w:rsidRDefault="003938FD" w:rsidP="007F244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sz w:val="22"/>
                <w:szCs w:val="22"/>
                <w:lang w:val="en-GB"/>
              </w:rPr>
              <w:t xml:space="preserve">Good support from colleagues and seniors is always available. </w:t>
            </w:r>
          </w:p>
        </w:tc>
      </w:tr>
      <w:tr w:rsidR="003938FD" w:rsidRPr="00E021A8" w14:paraId="45D47F11" w14:textId="77777777" w:rsidTr="00E85A32">
        <w:trPr>
          <w:trHeight w:val="144"/>
        </w:trPr>
        <w:tc>
          <w:tcPr>
            <w:tcW w:w="1809" w:type="dxa"/>
          </w:tcPr>
          <w:p w14:paraId="1657B8AB" w14:textId="77777777" w:rsidR="003938FD" w:rsidRPr="00E021A8" w:rsidRDefault="003938FD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b/>
                <w:sz w:val="22"/>
                <w:szCs w:val="22"/>
                <w:lang w:val="en-GB"/>
              </w:rPr>
              <w:t>Typical working pattern in this placement</w:t>
            </w:r>
          </w:p>
        </w:tc>
        <w:tc>
          <w:tcPr>
            <w:tcW w:w="8789" w:type="dxa"/>
          </w:tcPr>
          <w:p w14:paraId="3E544513" w14:textId="77777777" w:rsidR="007348F4" w:rsidRPr="00E021A8" w:rsidRDefault="007348F4" w:rsidP="007348F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b/>
                <w:sz w:val="22"/>
                <w:szCs w:val="22"/>
                <w:lang w:val="en-GB"/>
              </w:rPr>
              <w:t>Normal day</w:t>
            </w:r>
            <w:r w:rsidRPr="00E021A8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E021A8">
              <w:rPr>
                <w:rFonts w:ascii="Arial" w:hAnsi="Arial" w:cs="Arial"/>
                <w:sz w:val="22"/>
                <w:szCs w:val="22"/>
                <w:lang w:val="en-GB"/>
              </w:rPr>
              <w:tab/>
              <w:t>0900 – 1700</w:t>
            </w:r>
          </w:p>
          <w:p w14:paraId="41EAB249" w14:textId="77777777" w:rsidR="007348F4" w:rsidRPr="00E021A8" w:rsidRDefault="007348F4" w:rsidP="007348F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b/>
                <w:sz w:val="22"/>
                <w:szCs w:val="22"/>
                <w:lang w:val="en-GB"/>
              </w:rPr>
              <w:t>On call days</w:t>
            </w:r>
            <w:r w:rsidRPr="00E021A8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E021A8">
              <w:rPr>
                <w:rFonts w:ascii="Arial" w:hAnsi="Arial" w:cs="Arial"/>
                <w:sz w:val="22"/>
                <w:szCs w:val="22"/>
                <w:lang w:val="en-GB"/>
              </w:rPr>
              <w:tab/>
              <w:t>0900 – 2130 (usually once every 1 – 2 weeks)</w:t>
            </w:r>
          </w:p>
          <w:p w14:paraId="63C65FD4" w14:textId="77777777" w:rsidR="007348F4" w:rsidRPr="00E021A8" w:rsidRDefault="007348F4" w:rsidP="00EA69F7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b/>
                <w:sz w:val="22"/>
                <w:szCs w:val="22"/>
                <w:lang w:val="en-GB"/>
              </w:rPr>
              <w:t>Nights</w:t>
            </w:r>
            <w:r w:rsidRPr="00E021A8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E021A8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E021A8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2100 – 0930 </w:t>
            </w:r>
          </w:p>
          <w:p w14:paraId="4C572287" w14:textId="77777777" w:rsidR="003938FD" w:rsidRPr="00E021A8" w:rsidRDefault="007348F4" w:rsidP="00EA69F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sz w:val="22"/>
                <w:szCs w:val="22"/>
                <w:lang w:val="en-GB"/>
              </w:rPr>
              <w:t xml:space="preserve">Rota includes approximately 2 sets of weekend days (Saturday and Sunday), 1 set of weekday nights (Monday – Thursday, and 1 weekend of nights (Friday – Sunday). </w:t>
            </w:r>
          </w:p>
        </w:tc>
      </w:tr>
      <w:tr w:rsidR="00137C35" w:rsidRPr="00E021A8" w14:paraId="5AFCD74F" w14:textId="77777777" w:rsidTr="00E85A32">
        <w:trPr>
          <w:trHeight w:val="144"/>
        </w:trPr>
        <w:tc>
          <w:tcPr>
            <w:tcW w:w="1809" w:type="dxa"/>
          </w:tcPr>
          <w:p w14:paraId="041B89D8" w14:textId="77777777" w:rsidR="00137C35" w:rsidRPr="00E021A8" w:rsidRDefault="00137C35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021A8">
              <w:rPr>
                <w:rFonts w:ascii="Arial" w:hAnsi="Arial" w:cs="Arial"/>
                <w:b/>
                <w:sz w:val="22"/>
                <w:szCs w:val="22"/>
                <w:lang w:val="en-GB"/>
              </w:rPr>
              <w:t>Employer information</w:t>
            </w:r>
          </w:p>
        </w:tc>
        <w:tc>
          <w:tcPr>
            <w:tcW w:w="8789" w:type="dxa"/>
          </w:tcPr>
          <w:p w14:paraId="2F83CEB4" w14:textId="77777777" w:rsidR="00EA69F7" w:rsidRPr="005804F2" w:rsidRDefault="00EA69F7" w:rsidP="00EA69F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West Hertfordshire Hospitals NHS Trust provides acute healthcare services to a core catchment population of approximately half a million people living in west Hertfordshire and the surrounding area. The Trust also provides a range of more specialist services to a wider population, serving residents of North London, Bedfordshire, Buckingham</w:t>
            </w:r>
            <w:r>
              <w:rPr>
                <w:rFonts w:ascii="Arial" w:hAnsi="Arial" w:cs="Arial"/>
                <w:sz w:val="22"/>
                <w:szCs w:val="22"/>
              </w:rPr>
              <w:t xml:space="preserve">shire and East Hertfordshire.  </w:t>
            </w:r>
            <w:r w:rsidRPr="005804F2">
              <w:rPr>
                <w:rFonts w:ascii="Arial" w:hAnsi="Arial" w:cs="Arial"/>
                <w:sz w:val="22"/>
                <w:szCs w:val="22"/>
              </w:rPr>
              <w:t>With around 4,300 staff and 350 volunteers at our three hospitals in Watford, St Albans and Hemel Hempstead, we are one of the largest employers locally.</w:t>
            </w:r>
          </w:p>
          <w:p w14:paraId="6E9DA1CF" w14:textId="77777777" w:rsidR="00EA69F7" w:rsidRPr="005804F2" w:rsidRDefault="00EA69F7" w:rsidP="00EA69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57AE9" w14:textId="77777777" w:rsidR="00EA69F7" w:rsidRPr="00C455BC" w:rsidRDefault="00EA69F7" w:rsidP="00EA69F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The Trust manages three hospitals:</w:t>
            </w:r>
          </w:p>
          <w:p w14:paraId="5A590819" w14:textId="77777777" w:rsidR="00EA69F7" w:rsidRPr="00C455BC" w:rsidRDefault="001A595D" w:rsidP="00EA69F7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7" w:tooltip="Link to Information about Hemel Hempstead Hospital" w:history="1">
              <w:r w:rsidR="00EA69F7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Hemel Hempstead Hospital</w:t>
              </w:r>
            </w:hyperlink>
          </w:p>
          <w:p w14:paraId="24987D8D" w14:textId="77777777" w:rsidR="00EA69F7" w:rsidRPr="00C455BC" w:rsidRDefault="001A595D" w:rsidP="00EA69F7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8" w:tooltip="Link to Information about St Albans City Hospital" w:history="1">
              <w:r w:rsidR="00EA69F7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St Albans City Hospital</w:t>
              </w:r>
            </w:hyperlink>
          </w:p>
          <w:p w14:paraId="0915553B" w14:textId="77777777" w:rsidR="00EA69F7" w:rsidRPr="00C455BC" w:rsidRDefault="001A595D" w:rsidP="00EA69F7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9" w:tooltip="Link to Information about Watford General Hospital" w:history="1">
              <w:r w:rsidR="00EA69F7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Watford General Hospital</w:t>
              </w:r>
            </w:hyperlink>
          </w:p>
          <w:p w14:paraId="12736518" w14:textId="77777777" w:rsidR="00EA69F7" w:rsidRPr="005804F2" w:rsidRDefault="00EA69F7" w:rsidP="00EA69F7">
            <w:pPr>
              <w:pStyle w:val="NormalWeb"/>
              <w:spacing w:before="24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Hemel Hempstead Hospital </w:t>
            </w:r>
          </w:p>
          <w:p w14:paraId="6FFA0715" w14:textId="77777777" w:rsidR="00EA69F7" w:rsidRPr="005804F2" w:rsidRDefault="00EA69F7" w:rsidP="00EA69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The clinical services offered at Hemel Hempstead include:</w:t>
            </w:r>
          </w:p>
          <w:p w14:paraId="65EEA7C3" w14:textId="77777777" w:rsidR="00EA69F7" w:rsidRPr="005804F2" w:rsidRDefault="00EA69F7" w:rsidP="00EA69F7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community midwifery;</w:t>
            </w:r>
          </w:p>
          <w:p w14:paraId="0FA6DCDA" w14:textId="77777777" w:rsidR="00EA69F7" w:rsidRPr="005804F2" w:rsidRDefault="00EA69F7" w:rsidP="00EA69F7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0F735816" w14:textId="77777777" w:rsidR="00EA69F7" w:rsidRPr="005804F2" w:rsidRDefault="00EA69F7" w:rsidP="00EA69F7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step down beds;</w:t>
            </w:r>
          </w:p>
          <w:p w14:paraId="57070301" w14:textId="77777777" w:rsidR="00EA69F7" w:rsidRPr="005804F2" w:rsidRDefault="00EA69F7" w:rsidP="00EA69F7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urgent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care centre;</w:t>
            </w:r>
          </w:p>
          <w:p w14:paraId="430B3459" w14:textId="77777777" w:rsidR="00EA69F7" w:rsidRPr="005804F2" w:rsidRDefault="00EA69F7" w:rsidP="00EA69F7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including endoscopy and cardiac lung function testing;</w:t>
            </w:r>
          </w:p>
          <w:p w14:paraId="1FE42542" w14:textId="77777777" w:rsidR="00EA69F7" w:rsidRPr="005804F2" w:rsidRDefault="00EA69F7" w:rsidP="00EA69F7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lastRenderedPageBreak/>
              <w:t>clinical 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 xml:space="preserve">MRI, </w:t>
            </w:r>
            <w:proofErr w:type="gramStart"/>
            <w:r w:rsidRPr="005804F2">
              <w:rPr>
                <w:rFonts w:ascii="Arial" w:hAnsi="Arial" w:cs="Arial"/>
                <w:sz w:val="22"/>
                <w:szCs w:val="22"/>
              </w:rPr>
              <w:t>ultrasound</w:t>
            </w:r>
            <w:proofErr w:type="gramEnd"/>
            <w:r w:rsidRPr="005804F2">
              <w:rPr>
                <w:rFonts w:ascii="Arial" w:hAnsi="Arial" w:cs="Arial"/>
                <w:sz w:val="22"/>
                <w:szCs w:val="22"/>
              </w:rPr>
              <w:t xml:space="preserve"> and non-urgent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804F2">
              <w:rPr>
                <w:rFonts w:ascii="Arial" w:hAnsi="Arial" w:cs="Arial"/>
                <w:sz w:val="22"/>
                <w:szCs w:val="22"/>
              </w:rPr>
              <w:t>athology.</w:t>
            </w:r>
          </w:p>
          <w:p w14:paraId="0E76102C" w14:textId="77777777" w:rsidR="00EA69F7" w:rsidRPr="005804F2" w:rsidRDefault="00EA69F7" w:rsidP="00EA69F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St Albans City Hospital </w:t>
            </w:r>
          </w:p>
          <w:p w14:paraId="62572E7D" w14:textId="77777777" w:rsidR="00EA69F7" w:rsidRPr="005804F2" w:rsidRDefault="00EA69F7" w:rsidP="00EA69F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 Albans is our elective care centre. The clinical services offered include:</w:t>
            </w:r>
          </w:p>
          <w:p w14:paraId="459F6EB1" w14:textId="77777777" w:rsidR="00EA69F7" w:rsidRPr="005804F2" w:rsidRDefault="00EA69F7" w:rsidP="00EA69F7">
            <w:pPr>
              <w:pStyle w:val="NormalWeb"/>
              <w:numPr>
                <w:ilvl w:val="0"/>
                <w:numId w:val="22"/>
              </w:numPr>
              <w:spacing w:before="0" w:before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 community midwifery;</w:t>
            </w:r>
          </w:p>
          <w:p w14:paraId="10664AC1" w14:textId="77777777" w:rsidR="00EA69F7" w:rsidRPr="005804F2" w:rsidRDefault="00EA69F7" w:rsidP="00EA69F7">
            <w:pPr>
              <w:pStyle w:val="NormalWeb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3F4E8868" w14:textId="77777777" w:rsidR="00EA69F7" w:rsidRPr="005804F2" w:rsidRDefault="00EA69F7" w:rsidP="00EA69F7">
            <w:pPr>
              <w:pStyle w:val="NormalWeb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Minor injuries unit;</w:t>
            </w:r>
          </w:p>
          <w:p w14:paraId="42D3E3C2" w14:textId="77777777" w:rsidR="00EA69F7" w:rsidRPr="005804F2" w:rsidRDefault="00EA69F7" w:rsidP="00EA69F7">
            <w:pPr>
              <w:pStyle w:val="NormalWeb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elective and day surgery;</w:t>
            </w:r>
          </w:p>
          <w:p w14:paraId="55D56B7B" w14:textId="77777777" w:rsidR="00EA69F7" w:rsidRPr="005804F2" w:rsidRDefault="00EA69F7" w:rsidP="00EA69F7">
            <w:pPr>
              <w:pStyle w:val="NormalWeb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7893DFF" w14:textId="77777777" w:rsidR="00EA69F7" w:rsidRPr="005804F2" w:rsidRDefault="00EA69F7" w:rsidP="00EA69F7">
            <w:pPr>
              <w:pStyle w:val="NormalWeb"/>
              <w:numPr>
                <w:ilvl w:val="0"/>
                <w:numId w:val="22"/>
              </w:numPr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 support, including X-ray, ultrasound,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mammography and blood and specimen collection.</w:t>
            </w:r>
          </w:p>
          <w:p w14:paraId="671C6A8D" w14:textId="77777777" w:rsidR="00EA69F7" w:rsidRPr="005804F2" w:rsidRDefault="00EA69F7" w:rsidP="00EA69F7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Watford Hospital </w:t>
            </w:r>
          </w:p>
          <w:p w14:paraId="48309A6F" w14:textId="77777777" w:rsidR="00EA69F7" w:rsidRPr="005804F2" w:rsidRDefault="00EA69F7" w:rsidP="00EA69F7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 xml:space="preserve">Watford is at the heart of our acute emergency services. </w:t>
            </w:r>
          </w:p>
          <w:p w14:paraId="0BA16DCB" w14:textId="77777777" w:rsidR="00EA69F7" w:rsidRPr="005804F2" w:rsidRDefault="00EA69F7" w:rsidP="00EA69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The clinical services offered include:</w:t>
            </w:r>
          </w:p>
          <w:p w14:paraId="4AFDB393" w14:textId="77777777" w:rsidR="00EA69F7" w:rsidRPr="005804F2" w:rsidRDefault="00EA69F7" w:rsidP="00EA69F7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women’s and children’s services, including a consultant delivery unit, midwife birthin</w:t>
            </w:r>
            <w:r>
              <w:rPr>
                <w:rFonts w:ascii="Arial" w:hAnsi="Arial" w:cs="Arial"/>
                <w:sz w:val="22"/>
                <w:szCs w:val="22"/>
              </w:rPr>
              <w:t xml:space="preserve">g unit, antenatal and postnatal </w:t>
            </w:r>
            <w:r w:rsidRPr="005804F2">
              <w:rPr>
                <w:rFonts w:ascii="Arial" w:hAnsi="Arial" w:cs="Arial"/>
                <w:sz w:val="22"/>
                <w:szCs w:val="22"/>
              </w:rPr>
              <w:t>clinics;</w:t>
            </w:r>
          </w:p>
          <w:p w14:paraId="01DEFC67" w14:textId="77777777" w:rsidR="00EA69F7" w:rsidRPr="005804F2" w:rsidRDefault="00EA69F7" w:rsidP="00EA69F7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emergency care, including accident and emergency,</w:t>
            </w:r>
            <w:r>
              <w:rPr>
                <w:rFonts w:ascii="Arial" w:hAnsi="Arial" w:cs="Arial"/>
                <w:sz w:val="22"/>
                <w:szCs w:val="22"/>
              </w:rPr>
              <w:t xml:space="preserve"> acute </w:t>
            </w:r>
            <w:r w:rsidRPr="005804F2">
              <w:rPr>
                <w:rFonts w:ascii="Arial" w:hAnsi="Arial" w:cs="Arial"/>
                <w:sz w:val="22"/>
                <w:szCs w:val="22"/>
              </w:rPr>
              <w:t>admissions unit ambulatory ca</w:t>
            </w:r>
            <w:r>
              <w:rPr>
                <w:rFonts w:ascii="Arial" w:hAnsi="Arial" w:cs="Arial"/>
                <w:sz w:val="22"/>
                <w:szCs w:val="22"/>
              </w:rPr>
              <w:t xml:space="preserve">re unit, acute wards, intensive </w:t>
            </w:r>
            <w:r w:rsidRPr="005804F2">
              <w:rPr>
                <w:rFonts w:ascii="Arial" w:hAnsi="Arial" w:cs="Arial"/>
                <w:sz w:val="22"/>
                <w:szCs w:val="22"/>
              </w:rPr>
              <w:t>care unit, and emergency surgery;</w:t>
            </w:r>
          </w:p>
          <w:p w14:paraId="6285A168" w14:textId="77777777" w:rsidR="00EA69F7" w:rsidRPr="005804F2" w:rsidRDefault="00EA69F7" w:rsidP="00EA69F7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planned care, including outpatients and complex surgery;</w:t>
            </w:r>
          </w:p>
          <w:p w14:paraId="3B8DF025" w14:textId="77777777" w:rsidR="00EA69F7" w:rsidRPr="005804F2" w:rsidRDefault="00EA69F7" w:rsidP="00EA69F7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 including endoscopy, cardiology and chemotherapy;</w:t>
            </w:r>
          </w:p>
          <w:p w14:paraId="4F42925C" w14:textId="77777777" w:rsidR="00EA69F7" w:rsidRPr="005804F2" w:rsidRDefault="00EA69F7" w:rsidP="00EA69F7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</w:p>
          <w:p w14:paraId="47F5A1DF" w14:textId="77777777" w:rsidR="00EA69F7" w:rsidRPr="005804F2" w:rsidRDefault="00EA69F7" w:rsidP="00EA69F7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MRI, ultrasound and urgent and non-urgent pathology</w:t>
            </w:r>
          </w:p>
          <w:p w14:paraId="354FC8AC" w14:textId="77777777" w:rsidR="00EA69F7" w:rsidRPr="005804F2" w:rsidRDefault="00EA69F7" w:rsidP="00EA69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D22E19" w14:textId="77777777" w:rsidR="00EA69F7" w:rsidRDefault="00EA69F7" w:rsidP="00EA69F7">
            <w:pPr>
              <w:pStyle w:val="BodyText"/>
              <w:rPr>
                <w:rFonts w:ascii="Arial" w:hAnsi="Arial" w:cs="Arial"/>
                <w:szCs w:val="22"/>
              </w:rPr>
            </w:pPr>
            <w:r w:rsidRPr="005804F2">
              <w:rPr>
                <w:rFonts w:ascii="Arial" w:hAnsi="Arial" w:cs="Arial"/>
                <w:szCs w:val="22"/>
              </w:rPr>
              <w:t>Together with our staff, patients, volunteers and health and social care partners, we strive to provide consistently good, safe care in a friendly, listening and informative way, as and when people need and want it and always with dignity and respect.</w:t>
            </w:r>
          </w:p>
          <w:p w14:paraId="2A3F5717" w14:textId="77777777" w:rsidR="004B6177" w:rsidRPr="00E021A8" w:rsidRDefault="004B6177" w:rsidP="007348F4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EA69F7" w:rsidRPr="00E021A8" w14:paraId="34934E21" w14:textId="77777777" w:rsidTr="00E85A32">
        <w:trPr>
          <w:trHeight w:val="144"/>
        </w:trPr>
        <w:tc>
          <w:tcPr>
            <w:tcW w:w="1809" w:type="dxa"/>
          </w:tcPr>
          <w:p w14:paraId="30DCD641" w14:textId="77777777" w:rsidR="00EA69F7" w:rsidRDefault="00EA69F7" w:rsidP="00F53A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lastRenderedPageBreak/>
              <w:t>Travel between sites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and/or community placements</w:t>
            </w:r>
          </w:p>
          <w:p w14:paraId="23144C50" w14:textId="77777777" w:rsidR="00EA69F7" w:rsidRPr="00FA46CC" w:rsidRDefault="00EA69F7" w:rsidP="00F53A3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789" w:type="dxa"/>
          </w:tcPr>
          <w:p w14:paraId="5CC06497" w14:textId="77777777" w:rsidR="00EA69F7" w:rsidRPr="00263296" w:rsidRDefault="00EA69F7" w:rsidP="00F53A30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The Trust will reimburse travel expenses for trainees who may be required to travel between hospital sites and/or community placements.</w:t>
            </w:r>
          </w:p>
          <w:p w14:paraId="5BDFD24A" w14:textId="77777777" w:rsidR="00EA69F7" w:rsidRPr="00263296" w:rsidRDefault="00EA69F7" w:rsidP="00F53A30">
            <w:pPr>
              <w:pStyle w:val="NormalWeb"/>
              <w:spacing w:before="12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Some visits may not be easily accessible by public transport and therefore having a car would be an advantage.</w:t>
            </w:r>
          </w:p>
        </w:tc>
      </w:tr>
    </w:tbl>
    <w:p w14:paraId="12291B63" w14:textId="77777777" w:rsidR="00CF2557" w:rsidRDefault="00CF2557" w:rsidP="00EA69F7">
      <w:pPr>
        <w:jc w:val="both"/>
        <w:rPr>
          <w:rFonts w:ascii="Arial" w:hAnsi="Arial" w:cs="Arial"/>
          <w:b/>
          <w:color w:val="FF0000"/>
          <w:sz w:val="22"/>
          <w:szCs w:val="22"/>
          <w:lang w:val="en-GB"/>
        </w:rPr>
      </w:pPr>
    </w:p>
    <w:p w14:paraId="4E0C5ECF" w14:textId="77777777" w:rsidR="00BE4316" w:rsidRPr="00C914CD" w:rsidRDefault="00BE4316" w:rsidP="00BE431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914CD">
        <w:rPr>
          <w:rFonts w:ascii="Arial" w:hAnsi="Arial" w:cs="Arial"/>
          <w:sz w:val="22"/>
          <w:szCs w:val="22"/>
          <w:lang w:val="en-GB"/>
        </w:rPr>
        <w:t>It is important to note that this description is a typical example of your placement and may be subject to change.</w:t>
      </w:r>
    </w:p>
    <w:p w14:paraId="4B9E0DBB" w14:textId="4FD76357" w:rsidR="00BE4316" w:rsidRPr="005C7053" w:rsidRDefault="00BE4316" w:rsidP="00BE4316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5C7053">
        <w:rPr>
          <w:rFonts w:ascii="Arial" w:hAnsi="Arial" w:cs="Arial"/>
          <w:b/>
          <w:sz w:val="22"/>
          <w:szCs w:val="22"/>
        </w:rPr>
        <w:t xml:space="preserve">Jan </w:t>
      </w:r>
      <w:r w:rsidR="001A595D">
        <w:rPr>
          <w:rFonts w:ascii="Arial" w:hAnsi="Arial" w:cs="Arial"/>
          <w:b/>
          <w:sz w:val="22"/>
          <w:szCs w:val="22"/>
        </w:rPr>
        <w:t>2021</w:t>
      </w:r>
    </w:p>
    <w:p w14:paraId="0981934E" w14:textId="77777777" w:rsidR="00BE4316" w:rsidRPr="00E85A32" w:rsidRDefault="00BE4316" w:rsidP="00BE4316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AFCDF0B" w14:textId="77777777" w:rsidR="00BE4316" w:rsidRPr="009F19B2" w:rsidRDefault="00BE4316" w:rsidP="00BE4316">
      <w:pPr>
        <w:jc w:val="both"/>
        <w:rPr>
          <w:rFonts w:ascii="Arial" w:hAnsi="Arial" w:cs="Arial"/>
          <w:b/>
          <w:color w:val="FF0000"/>
          <w:sz w:val="22"/>
          <w:szCs w:val="22"/>
          <w:lang w:val="en-GB"/>
        </w:rPr>
      </w:pPr>
    </w:p>
    <w:p w14:paraId="62057C51" w14:textId="77777777" w:rsidR="00BE4316" w:rsidRPr="00E85A32" w:rsidRDefault="00BE4316" w:rsidP="00BE4316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77F08AB" w14:textId="77777777" w:rsidR="00EA69F7" w:rsidRPr="00E021A8" w:rsidRDefault="00EA69F7" w:rsidP="00BE4316">
      <w:pPr>
        <w:jc w:val="both"/>
        <w:rPr>
          <w:rFonts w:ascii="Arial" w:hAnsi="Arial" w:cs="Arial"/>
          <w:b/>
          <w:color w:val="FF0000"/>
          <w:sz w:val="22"/>
          <w:szCs w:val="22"/>
          <w:lang w:val="en-GB"/>
        </w:rPr>
      </w:pPr>
    </w:p>
    <w:sectPr w:rsidR="00EA69F7" w:rsidRPr="00E021A8" w:rsidSect="007F244A">
      <w:headerReference w:type="default" r:id="rId10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B61C7" w14:textId="77777777" w:rsidR="007F244A" w:rsidRDefault="007F244A" w:rsidP="00D23F94">
      <w:r>
        <w:separator/>
      </w:r>
    </w:p>
  </w:endnote>
  <w:endnote w:type="continuationSeparator" w:id="0">
    <w:p w14:paraId="4700EE7D" w14:textId="77777777" w:rsidR="007F244A" w:rsidRDefault="007F244A" w:rsidP="00D2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C4869" w14:textId="77777777" w:rsidR="007F244A" w:rsidRDefault="007F244A" w:rsidP="00D23F94">
      <w:r>
        <w:separator/>
      </w:r>
    </w:p>
  </w:footnote>
  <w:footnote w:type="continuationSeparator" w:id="0">
    <w:p w14:paraId="738F084E" w14:textId="77777777" w:rsidR="007F244A" w:rsidRDefault="007F244A" w:rsidP="00D2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AE72" w14:textId="0B24BE95" w:rsidR="007F244A" w:rsidRDefault="001A595D" w:rsidP="001A595D">
    <w:pPr>
      <w:pStyle w:val="Header"/>
    </w:pPr>
    <w:r>
      <w:rPr>
        <w:rFonts w:eastAsia="Arial"/>
        <w:noProof/>
        <w:szCs w:val="16"/>
      </w:rPr>
      <w:drawing>
        <wp:inline distT="0" distB="0" distL="0" distR="0" wp14:anchorId="5887B699" wp14:editId="6974F288">
          <wp:extent cx="2438859" cy="657225"/>
          <wp:effectExtent l="0" t="0" r="0" b="0"/>
          <wp:docPr id="4" name="Picture 4" descr="C:\Users\goodierd.WHHT.000\AppData\Local\Microsoft\Windows\Temporary Internet Files\Content.Word\teamWestHerts_medical educ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oodierd.WHHT.000\AppData\Local\Microsoft\Windows\Temporary Internet Files\Content.Word\teamWestHerts_medical educa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52" cy="660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object w:dxaOrig="2400" w:dyaOrig="1635" w14:anchorId="1F08F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54.75pt">
          <v:imagedata r:id="rId2" o:title=""/>
        </v:shape>
        <o:OLEObject Type="Embed" ProgID="MSPhotoEd.3" ShapeID="_x0000_i1025" DrawAspect="Content" ObjectID="_1677490579" r:id="rId3"/>
      </w:object>
    </w:r>
    <w:r>
      <w:t xml:space="preserve">                   </w:t>
    </w:r>
    <w:r w:rsidRPr="00B75F72">
      <w:rPr>
        <w:noProof/>
        <w:lang w:val="en-GB" w:eastAsia="en-GB"/>
      </w:rPr>
      <w:drawing>
        <wp:inline distT="0" distB="0" distL="0" distR="0" wp14:anchorId="1992C09C" wp14:editId="2DF3D593">
          <wp:extent cx="1410335" cy="782786"/>
          <wp:effectExtent l="19050" t="0" r="0" b="0"/>
          <wp:docPr id="5" name="Picture 3" descr="deanery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anery logo small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21234" cy="78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92F41"/>
    <w:multiLevelType w:val="multilevel"/>
    <w:tmpl w:val="004499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0C292836"/>
    <w:multiLevelType w:val="multilevel"/>
    <w:tmpl w:val="CE04F946"/>
    <w:lvl w:ilvl="0">
      <w:start w:val="1"/>
      <w:numFmt w:val="decimal"/>
      <w:pStyle w:val="RefGuide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RefGuide2"/>
      <w:lvlText w:val="%1.%2"/>
      <w:lvlJc w:val="left"/>
      <w:pPr>
        <w:tabs>
          <w:tab w:val="num" w:pos="0"/>
        </w:tabs>
        <w:ind w:left="680" w:hanging="68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"/>
      <w:lvlJc w:val="left"/>
      <w:pPr>
        <w:tabs>
          <w:tab w:val="num" w:pos="-36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36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36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0C86D62"/>
    <w:multiLevelType w:val="multilevel"/>
    <w:tmpl w:val="0CC0889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  <w:i w:val="0"/>
      </w:rPr>
    </w:lvl>
    <w:lvl w:ilvl="1">
      <w:start w:val="3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  <w:i w:val="0"/>
      </w:rPr>
    </w:lvl>
  </w:abstractNum>
  <w:abstractNum w:abstractNumId="3" w15:restartNumberingAfterBreak="0">
    <w:nsid w:val="12810E27"/>
    <w:multiLevelType w:val="hybridMultilevel"/>
    <w:tmpl w:val="65866444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B3643"/>
    <w:multiLevelType w:val="hybridMultilevel"/>
    <w:tmpl w:val="DA98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6240"/>
    <w:multiLevelType w:val="multilevel"/>
    <w:tmpl w:val="F6E2FB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F917B49"/>
    <w:multiLevelType w:val="multilevel"/>
    <w:tmpl w:val="004499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353862F9"/>
    <w:multiLevelType w:val="multilevel"/>
    <w:tmpl w:val="F29CCA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</w:abstractNum>
  <w:abstractNum w:abstractNumId="9" w15:restartNumberingAfterBreak="0">
    <w:nsid w:val="3DC55D3E"/>
    <w:multiLevelType w:val="multilevel"/>
    <w:tmpl w:val="D87C9E4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0" w15:restartNumberingAfterBreak="0">
    <w:nsid w:val="45435CC8"/>
    <w:multiLevelType w:val="multilevel"/>
    <w:tmpl w:val="3A424F2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4BDB5BFD"/>
    <w:multiLevelType w:val="hybridMultilevel"/>
    <w:tmpl w:val="60A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378F0"/>
    <w:multiLevelType w:val="hybridMultilevel"/>
    <w:tmpl w:val="7988E59E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7F582C"/>
    <w:multiLevelType w:val="multilevel"/>
    <w:tmpl w:val="0888A574"/>
    <w:lvl w:ilvl="0">
      <w:start w:val="1"/>
      <w:numFmt w:val="decimal"/>
      <w:pStyle w:val="GMCNumbertext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D12009C"/>
    <w:multiLevelType w:val="hybridMultilevel"/>
    <w:tmpl w:val="30B8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0EE0"/>
    <w:multiLevelType w:val="multilevel"/>
    <w:tmpl w:val="D220983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9014EB9"/>
    <w:multiLevelType w:val="multilevel"/>
    <w:tmpl w:val="C5B4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B6046D"/>
    <w:multiLevelType w:val="multilevel"/>
    <w:tmpl w:val="CD827D3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2B32790"/>
    <w:multiLevelType w:val="multilevel"/>
    <w:tmpl w:val="12F82B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D91265D"/>
    <w:multiLevelType w:val="multilevel"/>
    <w:tmpl w:val="FB00F3F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1745C"/>
    <w:multiLevelType w:val="multilevel"/>
    <w:tmpl w:val="8680708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9770F2D"/>
    <w:multiLevelType w:val="hybridMultilevel"/>
    <w:tmpl w:val="01F0A16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CAF4B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1"/>
  </w:num>
  <w:num w:numId="5">
    <w:abstractNumId w:val="2"/>
  </w:num>
  <w:num w:numId="6">
    <w:abstractNumId w:val="8"/>
  </w:num>
  <w:num w:numId="7">
    <w:abstractNumId w:val="18"/>
  </w:num>
  <w:num w:numId="8">
    <w:abstractNumId w:val="7"/>
  </w:num>
  <w:num w:numId="9">
    <w:abstractNumId w:val="9"/>
  </w:num>
  <w:num w:numId="10">
    <w:abstractNumId w:val="21"/>
  </w:num>
  <w:num w:numId="11">
    <w:abstractNumId w:val="10"/>
  </w:num>
  <w:num w:numId="12">
    <w:abstractNumId w:val="17"/>
  </w:num>
  <w:num w:numId="13">
    <w:abstractNumId w:val="19"/>
  </w:num>
  <w:num w:numId="14">
    <w:abstractNumId w:val="3"/>
  </w:num>
  <w:num w:numId="15">
    <w:abstractNumId w:val="6"/>
  </w:num>
  <w:num w:numId="16">
    <w:abstractNumId w:val="0"/>
  </w:num>
  <w:num w:numId="17">
    <w:abstractNumId w:val="15"/>
  </w:num>
  <w:num w:numId="18">
    <w:abstractNumId w:val="5"/>
  </w:num>
  <w:num w:numId="19">
    <w:abstractNumId w:val="20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1"/>
  </w:num>
  <w:num w:numId="2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4F"/>
    <w:rsid w:val="000127C0"/>
    <w:rsid w:val="00013773"/>
    <w:rsid w:val="00030625"/>
    <w:rsid w:val="000317CE"/>
    <w:rsid w:val="00037867"/>
    <w:rsid w:val="00046563"/>
    <w:rsid w:val="00047073"/>
    <w:rsid w:val="0005733F"/>
    <w:rsid w:val="00061107"/>
    <w:rsid w:val="000620C9"/>
    <w:rsid w:val="00070CB3"/>
    <w:rsid w:val="0007233E"/>
    <w:rsid w:val="000811CC"/>
    <w:rsid w:val="000A2042"/>
    <w:rsid w:val="000A2105"/>
    <w:rsid w:val="000A490D"/>
    <w:rsid w:val="000A648A"/>
    <w:rsid w:val="000B3163"/>
    <w:rsid w:val="00116C4F"/>
    <w:rsid w:val="00120C67"/>
    <w:rsid w:val="0013289C"/>
    <w:rsid w:val="0013296E"/>
    <w:rsid w:val="00137C35"/>
    <w:rsid w:val="0014368B"/>
    <w:rsid w:val="00147ECA"/>
    <w:rsid w:val="00156369"/>
    <w:rsid w:val="00163B6C"/>
    <w:rsid w:val="00177803"/>
    <w:rsid w:val="00186FD3"/>
    <w:rsid w:val="001870E5"/>
    <w:rsid w:val="001924BF"/>
    <w:rsid w:val="001A595D"/>
    <w:rsid w:val="001D59EC"/>
    <w:rsid w:val="001D74C9"/>
    <w:rsid w:val="001F75D7"/>
    <w:rsid w:val="002026DF"/>
    <w:rsid w:val="00202792"/>
    <w:rsid w:val="00220BA8"/>
    <w:rsid w:val="00247D49"/>
    <w:rsid w:val="00265C54"/>
    <w:rsid w:val="00267B7C"/>
    <w:rsid w:val="00281613"/>
    <w:rsid w:val="00287EF9"/>
    <w:rsid w:val="0029030F"/>
    <w:rsid w:val="00294797"/>
    <w:rsid w:val="002A1C98"/>
    <w:rsid w:val="002A5903"/>
    <w:rsid w:val="002B1E18"/>
    <w:rsid w:val="002B56FB"/>
    <w:rsid w:val="002C3834"/>
    <w:rsid w:val="002C4F43"/>
    <w:rsid w:val="002E008B"/>
    <w:rsid w:val="002E0D96"/>
    <w:rsid w:val="002E386E"/>
    <w:rsid w:val="00305DA4"/>
    <w:rsid w:val="0031061E"/>
    <w:rsid w:val="0031163E"/>
    <w:rsid w:val="0031217C"/>
    <w:rsid w:val="00333887"/>
    <w:rsid w:val="00351A41"/>
    <w:rsid w:val="0036297E"/>
    <w:rsid w:val="003744F1"/>
    <w:rsid w:val="00374D37"/>
    <w:rsid w:val="0038557A"/>
    <w:rsid w:val="003938FD"/>
    <w:rsid w:val="00395F9E"/>
    <w:rsid w:val="003A47F6"/>
    <w:rsid w:val="003B0036"/>
    <w:rsid w:val="003B241E"/>
    <w:rsid w:val="003C11AD"/>
    <w:rsid w:val="003C2FE8"/>
    <w:rsid w:val="003E028F"/>
    <w:rsid w:val="003E7AFD"/>
    <w:rsid w:val="003F0F55"/>
    <w:rsid w:val="0043462B"/>
    <w:rsid w:val="0044032E"/>
    <w:rsid w:val="004724D9"/>
    <w:rsid w:val="00485430"/>
    <w:rsid w:val="00495FF2"/>
    <w:rsid w:val="004970A7"/>
    <w:rsid w:val="004B6177"/>
    <w:rsid w:val="004B6978"/>
    <w:rsid w:val="004C42EE"/>
    <w:rsid w:val="004C64D7"/>
    <w:rsid w:val="004D6CE8"/>
    <w:rsid w:val="004D7041"/>
    <w:rsid w:val="004D730D"/>
    <w:rsid w:val="004E6B5D"/>
    <w:rsid w:val="004F4EE0"/>
    <w:rsid w:val="00502AF7"/>
    <w:rsid w:val="00511065"/>
    <w:rsid w:val="005139DA"/>
    <w:rsid w:val="00517EFC"/>
    <w:rsid w:val="00525609"/>
    <w:rsid w:val="005459C4"/>
    <w:rsid w:val="00551469"/>
    <w:rsid w:val="005748FE"/>
    <w:rsid w:val="00575CA7"/>
    <w:rsid w:val="00584317"/>
    <w:rsid w:val="0058561D"/>
    <w:rsid w:val="00586B80"/>
    <w:rsid w:val="00590B13"/>
    <w:rsid w:val="005A655E"/>
    <w:rsid w:val="005B779F"/>
    <w:rsid w:val="005D1BE4"/>
    <w:rsid w:val="005E3A3F"/>
    <w:rsid w:val="005F4E80"/>
    <w:rsid w:val="005F633D"/>
    <w:rsid w:val="005F6E8D"/>
    <w:rsid w:val="0060079E"/>
    <w:rsid w:val="00616457"/>
    <w:rsid w:val="00624550"/>
    <w:rsid w:val="00662187"/>
    <w:rsid w:val="00681226"/>
    <w:rsid w:val="0069374C"/>
    <w:rsid w:val="00694D5A"/>
    <w:rsid w:val="006A1305"/>
    <w:rsid w:val="006A3685"/>
    <w:rsid w:val="006B2691"/>
    <w:rsid w:val="006B4E15"/>
    <w:rsid w:val="006B6693"/>
    <w:rsid w:val="006C2ED9"/>
    <w:rsid w:val="006D1064"/>
    <w:rsid w:val="006D5E85"/>
    <w:rsid w:val="006E4AA9"/>
    <w:rsid w:val="006F5275"/>
    <w:rsid w:val="00732B14"/>
    <w:rsid w:val="007348F4"/>
    <w:rsid w:val="00740596"/>
    <w:rsid w:val="00751059"/>
    <w:rsid w:val="00751C6E"/>
    <w:rsid w:val="00763BBF"/>
    <w:rsid w:val="00774C7E"/>
    <w:rsid w:val="00777928"/>
    <w:rsid w:val="00791819"/>
    <w:rsid w:val="007A3ADE"/>
    <w:rsid w:val="007A5736"/>
    <w:rsid w:val="007A65CA"/>
    <w:rsid w:val="007B0A5F"/>
    <w:rsid w:val="007D6078"/>
    <w:rsid w:val="007D7377"/>
    <w:rsid w:val="007E6D7C"/>
    <w:rsid w:val="007F244A"/>
    <w:rsid w:val="007F4FD4"/>
    <w:rsid w:val="00831926"/>
    <w:rsid w:val="00831EEA"/>
    <w:rsid w:val="00840EB6"/>
    <w:rsid w:val="00846344"/>
    <w:rsid w:val="0085775C"/>
    <w:rsid w:val="00863352"/>
    <w:rsid w:val="0086715D"/>
    <w:rsid w:val="008709BF"/>
    <w:rsid w:val="00874AFF"/>
    <w:rsid w:val="008828FF"/>
    <w:rsid w:val="008949FC"/>
    <w:rsid w:val="008A3996"/>
    <w:rsid w:val="008B1B96"/>
    <w:rsid w:val="008B2B6D"/>
    <w:rsid w:val="008B4D82"/>
    <w:rsid w:val="008D68CD"/>
    <w:rsid w:val="0090298F"/>
    <w:rsid w:val="00905EF7"/>
    <w:rsid w:val="00913B0D"/>
    <w:rsid w:val="009144D0"/>
    <w:rsid w:val="009222D2"/>
    <w:rsid w:val="00922E71"/>
    <w:rsid w:val="0093631D"/>
    <w:rsid w:val="00940204"/>
    <w:rsid w:val="0094631D"/>
    <w:rsid w:val="00955B4B"/>
    <w:rsid w:val="00970E91"/>
    <w:rsid w:val="00987164"/>
    <w:rsid w:val="00991855"/>
    <w:rsid w:val="009A078C"/>
    <w:rsid w:val="009A0E9D"/>
    <w:rsid w:val="009B5D8A"/>
    <w:rsid w:val="009E0122"/>
    <w:rsid w:val="009E08DF"/>
    <w:rsid w:val="009E469A"/>
    <w:rsid w:val="009E64A6"/>
    <w:rsid w:val="009F2DB6"/>
    <w:rsid w:val="009F5D7D"/>
    <w:rsid w:val="00A07F4B"/>
    <w:rsid w:val="00A44899"/>
    <w:rsid w:val="00A467C4"/>
    <w:rsid w:val="00A565E4"/>
    <w:rsid w:val="00A57259"/>
    <w:rsid w:val="00A572D5"/>
    <w:rsid w:val="00A637D5"/>
    <w:rsid w:val="00A67092"/>
    <w:rsid w:val="00A76EEA"/>
    <w:rsid w:val="00A81060"/>
    <w:rsid w:val="00A8576A"/>
    <w:rsid w:val="00A90B78"/>
    <w:rsid w:val="00A97324"/>
    <w:rsid w:val="00AA4911"/>
    <w:rsid w:val="00AA7A83"/>
    <w:rsid w:val="00AB3F1B"/>
    <w:rsid w:val="00AB6365"/>
    <w:rsid w:val="00AC0EC2"/>
    <w:rsid w:val="00AE01F7"/>
    <w:rsid w:val="00AE02D8"/>
    <w:rsid w:val="00AF59D8"/>
    <w:rsid w:val="00B129B3"/>
    <w:rsid w:val="00B14699"/>
    <w:rsid w:val="00B26FF9"/>
    <w:rsid w:val="00B32589"/>
    <w:rsid w:val="00B33D69"/>
    <w:rsid w:val="00B37D5C"/>
    <w:rsid w:val="00B40812"/>
    <w:rsid w:val="00B45390"/>
    <w:rsid w:val="00B5246B"/>
    <w:rsid w:val="00B653A9"/>
    <w:rsid w:val="00B82154"/>
    <w:rsid w:val="00B92802"/>
    <w:rsid w:val="00B93E8D"/>
    <w:rsid w:val="00BB5F6C"/>
    <w:rsid w:val="00BC06A7"/>
    <w:rsid w:val="00BD4AEA"/>
    <w:rsid w:val="00BE4316"/>
    <w:rsid w:val="00C0261B"/>
    <w:rsid w:val="00C05BD7"/>
    <w:rsid w:val="00C100D9"/>
    <w:rsid w:val="00C11F22"/>
    <w:rsid w:val="00C33684"/>
    <w:rsid w:val="00C363BF"/>
    <w:rsid w:val="00C41C56"/>
    <w:rsid w:val="00C50932"/>
    <w:rsid w:val="00C70B03"/>
    <w:rsid w:val="00C72AA1"/>
    <w:rsid w:val="00C94739"/>
    <w:rsid w:val="00CA23F3"/>
    <w:rsid w:val="00CA28F4"/>
    <w:rsid w:val="00CA51AD"/>
    <w:rsid w:val="00CB629A"/>
    <w:rsid w:val="00CD4A3A"/>
    <w:rsid w:val="00CD6F34"/>
    <w:rsid w:val="00CE2A63"/>
    <w:rsid w:val="00CF2557"/>
    <w:rsid w:val="00CF3EAE"/>
    <w:rsid w:val="00D04FC6"/>
    <w:rsid w:val="00D152F8"/>
    <w:rsid w:val="00D17F47"/>
    <w:rsid w:val="00D23F94"/>
    <w:rsid w:val="00D252E1"/>
    <w:rsid w:val="00D321AE"/>
    <w:rsid w:val="00D374B8"/>
    <w:rsid w:val="00D4274B"/>
    <w:rsid w:val="00D45943"/>
    <w:rsid w:val="00D4710F"/>
    <w:rsid w:val="00D92391"/>
    <w:rsid w:val="00DA110D"/>
    <w:rsid w:val="00DA5DD2"/>
    <w:rsid w:val="00DA6D84"/>
    <w:rsid w:val="00DB76B5"/>
    <w:rsid w:val="00DC65D9"/>
    <w:rsid w:val="00DD58AE"/>
    <w:rsid w:val="00DD5954"/>
    <w:rsid w:val="00DD70A1"/>
    <w:rsid w:val="00DE3735"/>
    <w:rsid w:val="00DE3A0B"/>
    <w:rsid w:val="00DF170D"/>
    <w:rsid w:val="00DF3584"/>
    <w:rsid w:val="00DF4DC2"/>
    <w:rsid w:val="00E021A8"/>
    <w:rsid w:val="00E02B05"/>
    <w:rsid w:val="00E14E4D"/>
    <w:rsid w:val="00E32ED9"/>
    <w:rsid w:val="00E37F90"/>
    <w:rsid w:val="00E66038"/>
    <w:rsid w:val="00E755DD"/>
    <w:rsid w:val="00E851A1"/>
    <w:rsid w:val="00E85A32"/>
    <w:rsid w:val="00EA69F7"/>
    <w:rsid w:val="00EB4C59"/>
    <w:rsid w:val="00EB4DF3"/>
    <w:rsid w:val="00EB538A"/>
    <w:rsid w:val="00ED11FD"/>
    <w:rsid w:val="00ED1E10"/>
    <w:rsid w:val="00EF2D9A"/>
    <w:rsid w:val="00EF376C"/>
    <w:rsid w:val="00EF658C"/>
    <w:rsid w:val="00F16214"/>
    <w:rsid w:val="00F20D2A"/>
    <w:rsid w:val="00F26A1B"/>
    <w:rsid w:val="00F43494"/>
    <w:rsid w:val="00F43BBB"/>
    <w:rsid w:val="00F44736"/>
    <w:rsid w:val="00F44908"/>
    <w:rsid w:val="00F526C6"/>
    <w:rsid w:val="00F56476"/>
    <w:rsid w:val="00F761B9"/>
    <w:rsid w:val="00F8170B"/>
    <w:rsid w:val="00F909C5"/>
    <w:rsid w:val="00F92F81"/>
    <w:rsid w:val="00F96108"/>
    <w:rsid w:val="00F96FC2"/>
    <w:rsid w:val="00FA0913"/>
    <w:rsid w:val="00FA5CED"/>
    <w:rsid w:val="00FB5904"/>
    <w:rsid w:val="00FC1440"/>
    <w:rsid w:val="00FD2DB5"/>
    <w:rsid w:val="00FE3531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BEB82"/>
  <w15:docId w15:val="{92027B4E-3786-43B5-9892-889528D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C4F"/>
    <w:rPr>
      <w:rFonts w:ascii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2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33D6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B33D69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EmailStyle171">
    <w:name w:val="EmailStyle171"/>
    <w:uiPriority w:val="99"/>
    <w:semiHidden/>
    <w:rsid w:val="00586B80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99"/>
    <w:qFormat/>
    <w:rsid w:val="00186FD3"/>
    <w:pPr>
      <w:ind w:left="720"/>
    </w:pPr>
  </w:style>
  <w:style w:type="table" w:styleId="TableGrid">
    <w:name w:val="Table Grid"/>
    <w:basedOn w:val="TableNormal"/>
    <w:uiPriority w:val="99"/>
    <w:rsid w:val="0003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CA-Ztext">
    <w:name w:val="GMC A-Z text"/>
    <w:basedOn w:val="Normal"/>
    <w:link w:val="GMCA-ZtextChar"/>
    <w:uiPriority w:val="99"/>
    <w:rsid w:val="00247D49"/>
    <w:pPr>
      <w:spacing w:after="280" w:line="280" w:lineRule="atLeast"/>
    </w:pPr>
    <w:rPr>
      <w:rFonts w:ascii="Arial" w:hAnsi="Arial"/>
      <w:color w:val="000000"/>
      <w:lang w:val="en-GB"/>
    </w:rPr>
  </w:style>
  <w:style w:type="character" w:customStyle="1" w:styleId="GMCA-ZtextChar">
    <w:name w:val="GMC A-Z text Char"/>
    <w:link w:val="GMCA-Ztext"/>
    <w:uiPriority w:val="99"/>
    <w:locked/>
    <w:rsid w:val="00247D49"/>
    <w:rPr>
      <w:rFonts w:ascii="Arial" w:hAnsi="Arial" w:cs="Times New Roman"/>
      <w:color w:val="000000"/>
      <w:sz w:val="24"/>
      <w:szCs w:val="24"/>
      <w:lang w:val="en-GB" w:eastAsia="en-US" w:bidi="ar-SA"/>
    </w:rPr>
  </w:style>
  <w:style w:type="paragraph" w:customStyle="1" w:styleId="GMCNumbertext">
    <w:name w:val="GMC Number text"/>
    <w:basedOn w:val="Normal"/>
    <w:uiPriority w:val="99"/>
    <w:rsid w:val="00247D49"/>
    <w:pPr>
      <w:numPr>
        <w:numId w:val="1"/>
      </w:numPr>
      <w:tabs>
        <w:tab w:val="left" w:pos="2835"/>
        <w:tab w:val="left" w:pos="4820"/>
      </w:tabs>
      <w:spacing w:after="280" w:line="280" w:lineRule="atLeast"/>
    </w:pPr>
    <w:rPr>
      <w:rFonts w:ascii="Arial" w:hAnsi="Arial"/>
      <w:color w:val="000000"/>
      <w:lang w:val="en-GB"/>
    </w:rPr>
  </w:style>
  <w:style w:type="paragraph" w:styleId="Header">
    <w:name w:val="header"/>
    <w:basedOn w:val="Normal"/>
    <w:link w:val="HeaderChar"/>
    <w:uiPriority w:val="99"/>
    <w:rsid w:val="00D23F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23F94"/>
    <w:rPr>
      <w:rFonts w:ascii="Cambria" w:hAnsi="Cambria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23F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D23F94"/>
    <w:rPr>
      <w:rFonts w:ascii="Cambria" w:hAnsi="Cambria" w:cs="Times New Roman"/>
      <w:sz w:val="24"/>
      <w:szCs w:val="24"/>
      <w:lang w:val="en-US" w:eastAsia="en-US"/>
    </w:rPr>
  </w:style>
  <w:style w:type="character" w:customStyle="1" w:styleId="EmailStyle271">
    <w:name w:val="EmailStyle271"/>
    <w:uiPriority w:val="99"/>
    <w:semiHidden/>
    <w:rsid w:val="000811CC"/>
    <w:rPr>
      <w:rFonts w:ascii="Arial" w:hAnsi="Arial" w:cs="Arial"/>
      <w:color w:val="auto"/>
      <w:sz w:val="20"/>
      <w:szCs w:val="20"/>
    </w:rPr>
  </w:style>
  <w:style w:type="paragraph" w:customStyle="1" w:styleId="RefGuide2">
    <w:name w:val="RefGuide2"/>
    <w:basedOn w:val="Heading2"/>
    <w:link w:val="RefGuide2CharChar"/>
    <w:autoRedefine/>
    <w:uiPriority w:val="99"/>
    <w:rsid w:val="0036297E"/>
    <w:pPr>
      <w:keepNext w:val="0"/>
      <w:numPr>
        <w:ilvl w:val="1"/>
        <w:numId w:val="4"/>
      </w:numPr>
      <w:spacing w:before="0" w:after="0"/>
      <w:jc w:val="both"/>
    </w:pPr>
    <w:rPr>
      <w:rFonts w:cs="Times New Roman"/>
      <w:b w:val="0"/>
      <w:bCs w:val="0"/>
      <w:i w:val="0"/>
      <w:iCs w:val="0"/>
      <w:color w:val="272627"/>
      <w:sz w:val="22"/>
      <w:szCs w:val="24"/>
      <w:lang w:val="en-GB" w:eastAsia="en-GB"/>
    </w:rPr>
  </w:style>
  <w:style w:type="paragraph" w:customStyle="1" w:styleId="RefGuide1">
    <w:name w:val="RefGuide1"/>
    <w:basedOn w:val="Heading1"/>
    <w:next w:val="RefGuide2"/>
    <w:uiPriority w:val="99"/>
    <w:rsid w:val="0036297E"/>
    <w:pPr>
      <w:numPr>
        <w:numId w:val="4"/>
      </w:numPr>
      <w:spacing w:before="0" w:after="240"/>
    </w:pPr>
    <w:rPr>
      <w:sz w:val="28"/>
      <w:szCs w:val="28"/>
      <w:lang w:val="en-GB"/>
    </w:rPr>
  </w:style>
  <w:style w:type="character" w:customStyle="1" w:styleId="RefGuide2CharChar">
    <w:name w:val="RefGuide2 Char Char"/>
    <w:link w:val="RefGuide2"/>
    <w:uiPriority w:val="99"/>
    <w:locked/>
    <w:rsid w:val="0036297E"/>
    <w:rPr>
      <w:rFonts w:ascii="Arial" w:hAnsi="Arial" w:cs="Times New Roman"/>
      <w:color w:val="272627"/>
      <w:sz w:val="24"/>
      <w:szCs w:val="24"/>
    </w:rPr>
  </w:style>
  <w:style w:type="character" w:styleId="CommentReference">
    <w:name w:val="annotation reference"/>
    <w:uiPriority w:val="99"/>
    <w:rsid w:val="002816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16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81613"/>
    <w:rPr>
      <w:rFonts w:ascii="Cambria" w:hAnsi="Cambria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8161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281613"/>
    <w:rPr>
      <w:rFonts w:ascii="Cambria" w:hAnsi="Cambria"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281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81613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8557A"/>
    <w:pPr>
      <w:widowControl w:val="0"/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BodyTextChar">
    <w:name w:val="Body Text Char"/>
    <w:link w:val="BodyText"/>
    <w:uiPriority w:val="99"/>
    <w:locked/>
    <w:rsid w:val="0038557A"/>
    <w:rPr>
      <w:rFonts w:cs="Times New Roman"/>
      <w:sz w:val="22"/>
      <w:lang w:val="en-GB" w:eastAsia="en-US" w:bidi="ar-SA"/>
    </w:rPr>
  </w:style>
  <w:style w:type="character" w:styleId="Hyperlink">
    <w:name w:val="Hyperlink"/>
    <w:uiPriority w:val="99"/>
    <w:rsid w:val="003855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7C35"/>
    <w:pPr>
      <w:spacing w:before="100" w:beforeAutospacing="1" w:after="100" w:afterAutospacing="1"/>
    </w:pPr>
    <w:rPr>
      <w:rFonts w:ascii="Times New Roman" w:eastAsia="Calibri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8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hertshospitals.nhs.uk/about/our_hospitals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sthertshospitals.nhs.uk/about/our_hospitals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esthertshospitals.nhs.uk/about/our_hospitals.as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Foundation Programme Reference Guide (2010)</vt:lpstr>
    </vt:vector>
  </TitlesOfParts>
  <Company>NHS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Foundation Programme Reference Guide (2010)</dc:title>
  <dc:creator>Forde</dc:creator>
  <cp:lastModifiedBy>GOODIER, David (WEST HERTFORDSHIRE HOSPITALS NHS TRUST)</cp:lastModifiedBy>
  <cp:revision>2</cp:revision>
  <cp:lastPrinted>2014-02-06T16:51:00Z</cp:lastPrinted>
  <dcterms:created xsi:type="dcterms:W3CDTF">2021-03-17T12:49:00Z</dcterms:created>
  <dcterms:modified xsi:type="dcterms:W3CDTF">2021-03-17T12:49:00Z</dcterms:modified>
</cp:coreProperties>
</file>