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F82" w:rsidRDefault="00777F82" w:rsidP="00777F82">
      <w:pPr>
        <w:jc w:val="center"/>
        <w:rPr>
          <w:rFonts w:cs="Arial"/>
          <w:b/>
          <w:bCs/>
          <w:sz w:val="28"/>
          <w:szCs w:val="28"/>
          <w:lang w:val="en-US"/>
        </w:rPr>
      </w:pPr>
      <w:smartTag w:uri="urn:schemas-microsoft-com:office:smarttags" w:element="place">
        <w:smartTag w:uri="urn:schemas-microsoft-com:office:smarttags" w:element="PlaceName">
          <w:r>
            <w:rPr>
              <w:rFonts w:cs="Arial"/>
              <w:b/>
              <w:bCs/>
              <w:sz w:val="28"/>
              <w:szCs w:val="28"/>
              <w:lang w:val="en-US"/>
            </w:rPr>
            <w:t>East Anglia</w:t>
          </w:r>
        </w:smartTag>
        <w:r>
          <w:rPr>
            <w:rFonts w:cs="Arial"/>
            <w:b/>
            <w:bCs/>
            <w:sz w:val="28"/>
            <w:szCs w:val="28"/>
            <w:lang w:val="en-US"/>
          </w:rPr>
          <w:t xml:space="preserve"> </w:t>
        </w:r>
        <w:smartTag w:uri="urn:schemas-microsoft-com:office:smarttags" w:element="PlaceName">
          <w:r>
            <w:rPr>
              <w:rFonts w:cs="Arial"/>
              <w:b/>
              <w:bCs/>
              <w:sz w:val="28"/>
              <w:szCs w:val="28"/>
              <w:lang w:val="en-US"/>
            </w:rPr>
            <w:t>Foundation</w:t>
          </w:r>
        </w:smartTag>
        <w:r>
          <w:rPr>
            <w:rFonts w:cs="Arial"/>
            <w:b/>
            <w:bCs/>
            <w:sz w:val="28"/>
            <w:szCs w:val="28"/>
            <w:lang w:val="en-US"/>
          </w:rPr>
          <w:t xml:space="preserve"> </w:t>
        </w:r>
        <w:smartTag w:uri="urn:schemas-microsoft-com:office:smarttags" w:element="PlaceType">
          <w:r>
            <w:rPr>
              <w:rFonts w:cs="Arial"/>
              <w:b/>
              <w:bCs/>
              <w:sz w:val="28"/>
              <w:szCs w:val="28"/>
              <w:lang w:val="en-US"/>
            </w:rPr>
            <w:t>School</w:t>
          </w:r>
        </w:smartTag>
      </w:smartTag>
    </w:p>
    <w:p w:rsidR="00777F82" w:rsidRDefault="00777F82" w:rsidP="00777F82">
      <w:pPr>
        <w:jc w:val="center"/>
        <w:rPr>
          <w:rFonts w:cs="Arial"/>
          <w:b/>
          <w:bCs/>
          <w:sz w:val="28"/>
          <w:szCs w:val="28"/>
          <w:lang w:val="en-US"/>
        </w:rPr>
      </w:pPr>
      <w:r>
        <w:rPr>
          <w:rFonts w:cs="Arial"/>
          <w:b/>
          <w:bCs/>
          <w:sz w:val="28"/>
          <w:szCs w:val="28"/>
          <w:lang w:val="en-US"/>
        </w:rPr>
        <w:t xml:space="preserve">Individual Placement Description </w:t>
      </w:r>
    </w:p>
    <w:p w:rsidR="00777F82" w:rsidRDefault="00777F82" w:rsidP="00777F82">
      <w:pPr>
        <w:jc w:val="center"/>
        <w:rPr>
          <w:rFonts w:cs="Arial"/>
          <w:b/>
          <w:bCs/>
          <w:sz w:val="28"/>
          <w:szCs w:val="28"/>
          <w:lang w:val="en-US"/>
        </w:rPr>
      </w:pPr>
    </w:p>
    <w:p w:rsidR="00777F82" w:rsidRDefault="00777F82" w:rsidP="00777F82">
      <w:pPr>
        <w:jc w:val="center"/>
        <w:rPr>
          <w:rFonts w:cs="Arial"/>
          <w:b/>
          <w:bCs/>
          <w:sz w:val="28"/>
          <w:szCs w:val="28"/>
          <w:lang w:val="en-US"/>
        </w:rPr>
      </w:pPr>
      <w:smartTag w:uri="urn:schemas-microsoft-com:office:smarttags" w:element="place">
        <w:smartTag w:uri="urn:schemas-microsoft-com:office:smarttags" w:element="PlaceName">
          <w:r>
            <w:rPr>
              <w:rFonts w:cs="Arial"/>
              <w:b/>
              <w:bCs/>
              <w:sz w:val="28"/>
              <w:szCs w:val="28"/>
              <w:lang w:val="en-US"/>
            </w:rPr>
            <w:t>Ipswich</w:t>
          </w:r>
        </w:smartTag>
        <w:r>
          <w:rPr>
            <w:rFonts w:cs="Arial"/>
            <w:b/>
            <w:bCs/>
            <w:sz w:val="28"/>
            <w:szCs w:val="28"/>
            <w:lang w:val="en-US"/>
          </w:rPr>
          <w:t xml:space="preserve"> </w:t>
        </w:r>
        <w:smartTag w:uri="urn:schemas-microsoft-com:office:smarttags" w:element="PlaceType">
          <w:r>
            <w:rPr>
              <w:rFonts w:cs="Arial"/>
              <w:b/>
              <w:bCs/>
              <w:sz w:val="28"/>
              <w:szCs w:val="28"/>
              <w:lang w:val="en-US"/>
            </w:rPr>
            <w:t>Hospital</w:t>
          </w:r>
        </w:smartTag>
      </w:smartTag>
      <w:r>
        <w:rPr>
          <w:rFonts w:cs="Arial"/>
          <w:b/>
          <w:bCs/>
          <w:sz w:val="28"/>
          <w:szCs w:val="28"/>
          <w:lang w:val="en-US"/>
        </w:rPr>
        <w:t xml:space="preserve"> NHS Trust</w:t>
      </w:r>
    </w:p>
    <w:p w:rsidR="00777F82" w:rsidRDefault="00777F82" w:rsidP="00777F82">
      <w:pPr>
        <w:rPr>
          <w:rFonts w:cs="Arial"/>
          <w:b/>
          <w:bCs/>
          <w:sz w:val="22"/>
          <w:szCs w:val="22"/>
          <w:lang w:val="en-US"/>
        </w:rPr>
      </w:pPr>
    </w:p>
    <w:p w:rsidR="00777F82" w:rsidRPr="001E39D3" w:rsidRDefault="00777F82" w:rsidP="00777F82">
      <w:pPr>
        <w:rPr>
          <w:rFonts w:cs="Arial"/>
          <w:sz w:val="22"/>
          <w:szCs w:val="22"/>
          <w:lang w:val="en-US"/>
        </w:rPr>
      </w:pPr>
      <w:proofErr w:type="gramStart"/>
      <w:r w:rsidRPr="001E39D3">
        <w:rPr>
          <w:rFonts w:cs="Arial"/>
          <w:sz w:val="22"/>
          <w:szCs w:val="22"/>
          <w:lang w:val="en-US"/>
        </w:rPr>
        <w:t>All information to be completed by the Foundation School.</w:t>
      </w:r>
      <w:proofErr w:type="gramEnd"/>
    </w:p>
    <w:p w:rsidR="00777F82" w:rsidRPr="001E39D3" w:rsidRDefault="00777F82" w:rsidP="00777F82">
      <w:pPr>
        <w:rPr>
          <w:rFonts w:cs="Arial"/>
          <w:b/>
          <w:bCs/>
          <w:sz w:val="22"/>
          <w:szCs w:val="22"/>
          <w:lang w:val="en-US"/>
        </w:rPr>
      </w:pPr>
    </w:p>
    <w:tbl>
      <w:tblPr>
        <w:tblW w:w="8028" w:type="dxa"/>
        <w:tblCellMar>
          <w:left w:w="0" w:type="dxa"/>
          <w:right w:w="0" w:type="dxa"/>
        </w:tblCellMar>
        <w:tblLook w:val="04A0" w:firstRow="1" w:lastRow="0" w:firstColumn="1" w:lastColumn="0" w:noHBand="0" w:noVBand="1"/>
      </w:tblPr>
      <w:tblGrid>
        <w:gridCol w:w="2268"/>
        <w:gridCol w:w="5760"/>
      </w:tblGrid>
      <w:tr w:rsidR="00777F82" w:rsidRPr="001E39D3" w:rsidTr="0069317B">
        <w:trPr>
          <w:trHeight w:val="144"/>
        </w:trPr>
        <w:tc>
          <w:tcPr>
            <w:tcW w:w="2268" w:type="dxa"/>
            <w:tcMar>
              <w:top w:w="0" w:type="dxa"/>
              <w:left w:w="108" w:type="dxa"/>
              <w:bottom w:w="0" w:type="dxa"/>
              <w:right w:w="108" w:type="dxa"/>
            </w:tcMar>
            <w:hideMark/>
          </w:tcPr>
          <w:p w:rsidR="00777F82" w:rsidRPr="001E39D3" w:rsidRDefault="00777F82" w:rsidP="0069317B">
            <w:pPr>
              <w:jc w:val="both"/>
              <w:rPr>
                <w:rFonts w:cs="Arial"/>
                <w:b/>
                <w:bCs/>
              </w:rPr>
            </w:pPr>
            <w:r w:rsidRPr="001E39D3">
              <w:rPr>
                <w:rFonts w:cs="Arial"/>
                <w:b/>
                <w:bCs/>
                <w:sz w:val="22"/>
                <w:szCs w:val="22"/>
              </w:rPr>
              <w:t>Placement</w:t>
            </w:r>
          </w:p>
        </w:tc>
        <w:tc>
          <w:tcPr>
            <w:tcW w:w="5760" w:type="dxa"/>
            <w:tcMar>
              <w:top w:w="0" w:type="dxa"/>
              <w:left w:w="108" w:type="dxa"/>
              <w:bottom w:w="0" w:type="dxa"/>
              <w:right w:w="108" w:type="dxa"/>
            </w:tcMar>
          </w:tcPr>
          <w:p w:rsidR="00777F82" w:rsidRPr="001E39D3" w:rsidRDefault="00777F82" w:rsidP="0069317B">
            <w:pPr>
              <w:jc w:val="both"/>
              <w:rPr>
                <w:rFonts w:cs="Arial"/>
              </w:rPr>
            </w:pPr>
            <w:r w:rsidRPr="001E39D3">
              <w:rPr>
                <w:rFonts w:cs="Arial"/>
                <w:sz w:val="22"/>
                <w:szCs w:val="22"/>
              </w:rPr>
              <w:t>F2 psychiatry</w:t>
            </w:r>
          </w:p>
          <w:p w:rsidR="00777F82" w:rsidRPr="001E39D3" w:rsidRDefault="00777F82" w:rsidP="0069317B">
            <w:pPr>
              <w:jc w:val="both"/>
              <w:rPr>
                <w:rFonts w:cs="Arial"/>
              </w:rPr>
            </w:pPr>
          </w:p>
        </w:tc>
      </w:tr>
      <w:tr w:rsidR="00777F82" w:rsidRPr="001E39D3" w:rsidTr="0069317B">
        <w:trPr>
          <w:trHeight w:val="144"/>
        </w:trPr>
        <w:tc>
          <w:tcPr>
            <w:tcW w:w="2268" w:type="dxa"/>
            <w:tcMar>
              <w:top w:w="0" w:type="dxa"/>
              <w:left w:w="108" w:type="dxa"/>
              <w:bottom w:w="0" w:type="dxa"/>
              <w:right w:w="108" w:type="dxa"/>
            </w:tcMar>
            <w:hideMark/>
          </w:tcPr>
          <w:p w:rsidR="00777F82" w:rsidRPr="001E39D3" w:rsidRDefault="00777F82" w:rsidP="0069317B">
            <w:pPr>
              <w:rPr>
                <w:rFonts w:cs="Arial"/>
                <w:b/>
                <w:bCs/>
              </w:rPr>
            </w:pPr>
            <w:r w:rsidRPr="001E39D3">
              <w:rPr>
                <w:rFonts w:cs="Arial"/>
                <w:b/>
                <w:bCs/>
                <w:sz w:val="22"/>
                <w:szCs w:val="22"/>
              </w:rPr>
              <w:t>The department</w:t>
            </w:r>
          </w:p>
        </w:tc>
        <w:tc>
          <w:tcPr>
            <w:tcW w:w="5760" w:type="dxa"/>
            <w:tcMar>
              <w:top w:w="0" w:type="dxa"/>
              <w:left w:w="108" w:type="dxa"/>
              <w:bottom w:w="0" w:type="dxa"/>
              <w:right w:w="108" w:type="dxa"/>
            </w:tcMar>
            <w:hideMark/>
          </w:tcPr>
          <w:p w:rsidR="00777F82" w:rsidRPr="001E39D3" w:rsidRDefault="00777F82" w:rsidP="0069317B">
            <w:pPr>
              <w:rPr>
                <w:rFonts w:cs="Arial"/>
              </w:rPr>
            </w:pPr>
            <w:r w:rsidRPr="001E39D3">
              <w:rPr>
                <w:rFonts w:cs="Arial"/>
                <w:sz w:val="22"/>
                <w:szCs w:val="22"/>
              </w:rPr>
              <w:t>Psychiatric services on the Ipswich Hospital site are provided at the Woodlands unit by Norfolk and Suffolk NHS Foundation Trust along with community mental health services which are mostly located off-site. The Woodlands unit houses four mental health wards, shared therapy services and two crisis/home treatment teams. The department of old age psychiatry includes six consultants, four career grade psychiatrists and there are placements for 4 trainees (this post, a CT1-3 trainee and two ST4-6 trainees). One of the consultants and one ST4-6 trainee are based full time on Willows Ward, the assessment ward for older people.</w:t>
            </w:r>
          </w:p>
          <w:p w:rsidR="00777F82" w:rsidRPr="001E39D3" w:rsidRDefault="00777F82" w:rsidP="0069317B">
            <w:pPr>
              <w:rPr>
                <w:rFonts w:cs="Arial"/>
              </w:rPr>
            </w:pPr>
            <w:r w:rsidRPr="001E39D3">
              <w:rPr>
                <w:rFonts w:cs="Arial"/>
                <w:sz w:val="22"/>
                <w:szCs w:val="22"/>
              </w:rPr>
              <w:t> </w:t>
            </w:r>
          </w:p>
        </w:tc>
      </w:tr>
      <w:tr w:rsidR="00777F82" w:rsidRPr="001E39D3" w:rsidTr="0069317B">
        <w:trPr>
          <w:trHeight w:val="144"/>
        </w:trPr>
        <w:tc>
          <w:tcPr>
            <w:tcW w:w="2268" w:type="dxa"/>
            <w:tcMar>
              <w:top w:w="0" w:type="dxa"/>
              <w:left w:w="108" w:type="dxa"/>
              <w:bottom w:w="0" w:type="dxa"/>
              <w:right w:w="108" w:type="dxa"/>
            </w:tcMar>
            <w:hideMark/>
          </w:tcPr>
          <w:p w:rsidR="00777F82" w:rsidRPr="001E39D3" w:rsidRDefault="00777F82" w:rsidP="0069317B">
            <w:pPr>
              <w:rPr>
                <w:rFonts w:cs="Arial"/>
                <w:b/>
                <w:bCs/>
              </w:rPr>
            </w:pPr>
            <w:r w:rsidRPr="001E39D3">
              <w:rPr>
                <w:rFonts w:cs="Arial"/>
                <w:b/>
                <w:bCs/>
                <w:sz w:val="22"/>
                <w:szCs w:val="22"/>
              </w:rPr>
              <w:t>The type of work to expect and learning opportunities</w:t>
            </w:r>
          </w:p>
        </w:tc>
        <w:tc>
          <w:tcPr>
            <w:tcW w:w="5760" w:type="dxa"/>
            <w:tcMar>
              <w:top w:w="0" w:type="dxa"/>
              <w:left w:w="108" w:type="dxa"/>
              <w:bottom w:w="0" w:type="dxa"/>
              <w:right w:w="108" w:type="dxa"/>
            </w:tcMar>
          </w:tcPr>
          <w:p w:rsidR="00777F82" w:rsidRPr="001E39D3" w:rsidRDefault="00777F82" w:rsidP="0069317B">
            <w:pPr>
              <w:rPr>
                <w:rFonts w:cs="Arial"/>
              </w:rPr>
            </w:pPr>
            <w:r w:rsidRPr="001E39D3">
              <w:rPr>
                <w:rFonts w:cs="Arial"/>
                <w:sz w:val="22"/>
                <w:szCs w:val="22"/>
              </w:rPr>
              <w:t xml:space="preserve">Mostly ward work on an older people’s mental health assessment ward, but with opportunities for community visits with the later life crisis team and/or to attend ECT treatment sessions. FY2 trainees are invited to attend and to take part in the postgraduate teaching sessions based at the Woodlands. They will be required to take part in a daytime and out of hours (3 </w:t>
            </w:r>
            <w:proofErr w:type="gramStart"/>
            <w:r w:rsidRPr="001E39D3">
              <w:rPr>
                <w:rFonts w:cs="Arial"/>
                <w:sz w:val="22"/>
                <w:szCs w:val="22"/>
              </w:rPr>
              <w:t>tier</w:t>
            </w:r>
            <w:proofErr w:type="gramEnd"/>
            <w:r w:rsidRPr="001E39D3">
              <w:rPr>
                <w:rFonts w:cs="Arial"/>
                <w:sz w:val="22"/>
                <w:szCs w:val="22"/>
              </w:rPr>
              <w:t>) duty rota covering acute assessments of patients of all ages with mental health problems.</w:t>
            </w:r>
          </w:p>
          <w:p w:rsidR="00777F82" w:rsidRPr="001E39D3" w:rsidRDefault="00777F82" w:rsidP="0069317B">
            <w:pPr>
              <w:rPr>
                <w:rFonts w:cs="Arial"/>
              </w:rPr>
            </w:pPr>
            <w:r w:rsidRPr="001E39D3">
              <w:rPr>
                <w:rFonts w:cs="Arial"/>
                <w:sz w:val="22"/>
                <w:szCs w:val="22"/>
              </w:rPr>
              <w:t>During this placement the FY2 trainee will have the opportunity to learn and develop the following skills:</w:t>
            </w:r>
          </w:p>
          <w:p w:rsidR="00777F82" w:rsidRPr="001E39D3" w:rsidRDefault="00777F82" w:rsidP="00777F82">
            <w:pPr>
              <w:numPr>
                <w:ilvl w:val="0"/>
                <w:numId w:val="23"/>
              </w:numPr>
              <w:rPr>
                <w:rFonts w:cs="Arial"/>
              </w:rPr>
            </w:pPr>
            <w:r w:rsidRPr="001E39D3">
              <w:rPr>
                <w:rFonts w:cs="Arial"/>
                <w:sz w:val="22"/>
                <w:szCs w:val="22"/>
              </w:rPr>
              <w:t>Taking a psychiatric history</w:t>
            </w:r>
          </w:p>
          <w:p w:rsidR="00777F82" w:rsidRPr="001E39D3" w:rsidRDefault="00777F82" w:rsidP="00777F82">
            <w:pPr>
              <w:numPr>
                <w:ilvl w:val="0"/>
                <w:numId w:val="23"/>
              </w:numPr>
              <w:rPr>
                <w:rFonts w:cs="Arial"/>
              </w:rPr>
            </w:pPr>
            <w:r w:rsidRPr="001E39D3">
              <w:rPr>
                <w:rFonts w:cs="Arial"/>
                <w:sz w:val="22"/>
                <w:szCs w:val="22"/>
              </w:rPr>
              <w:t>Mental state examination</w:t>
            </w:r>
          </w:p>
          <w:p w:rsidR="00777F82" w:rsidRPr="001E39D3" w:rsidRDefault="00777F82" w:rsidP="00777F82">
            <w:pPr>
              <w:numPr>
                <w:ilvl w:val="0"/>
                <w:numId w:val="23"/>
              </w:numPr>
              <w:rPr>
                <w:rFonts w:cs="Arial"/>
              </w:rPr>
            </w:pPr>
            <w:r w:rsidRPr="001E39D3">
              <w:rPr>
                <w:rFonts w:cs="Arial"/>
                <w:sz w:val="22"/>
                <w:szCs w:val="22"/>
              </w:rPr>
              <w:t>Cognitive testing</w:t>
            </w:r>
          </w:p>
          <w:p w:rsidR="00777F82" w:rsidRPr="001E39D3" w:rsidRDefault="00777F82" w:rsidP="00777F82">
            <w:pPr>
              <w:numPr>
                <w:ilvl w:val="0"/>
                <w:numId w:val="23"/>
              </w:numPr>
              <w:rPr>
                <w:rFonts w:cs="Arial"/>
              </w:rPr>
            </w:pPr>
            <w:r w:rsidRPr="001E39D3">
              <w:rPr>
                <w:rFonts w:cs="Arial"/>
                <w:sz w:val="22"/>
                <w:szCs w:val="22"/>
              </w:rPr>
              <w:t>Assessment of capacity</w:t>
            </w:r>
          </w:p>
          <w:p w:rsidR="00777F82" w:rsidRPr="001E39D3" w:rsidRDefault="00777F82" w:rsidP="00777F82">
            <w:pPr>
              <w:numPr>
                <w:ilvl w:val="0"/>
                <w:numId w:val="23"/>
              </w:numPr>
              <w:rPr>
                <w:rFonts w:cs="Arial"/>
              </w:rPr>
            </w:pPr>
            <w:r w:rsidRPr="001E39D3">
              <w:rPr>
                <w:rFonts w:cs="Arial"/>
                <w:sz w:val="22"/>
                <w:szCs w:val="22"/>
              </w:rPr>
              <w:t>Assessment and management of suicidal risk</w:t>
            </w:r>
          </w:p>
          <w:p w:rsidR="00777F82" w:rsidRPr="001E39D3" w:rsidRDefault="00777F82" w:rsidP="00777F82">
            <w:pPr>
              <w:numPr>
                <w:ilvl w:val="0"/>
                <w:numId w:val="23"/>
              </w:numPr>
              <w:rPr>
                <w:rFonts w:cs="Arial"/>
              </w:rPr>
            </w:pPr>
            <w:r w:rsidRPr="001E39D3">
              <w:rPr>
                <w:rFonts w:cs="Arial"/>
                <w:sz w:val="22"/>
                <w:szCs w:val="22"/>
              </w:rPr>
              <w:t>Communication skills</w:t>
            </w:r>
          </w:p>
          <w:p w:rsidR="00777F82" w:rsidRPr="001E39D3" w:rsidRDefault="00777F82" w:rsidP="00777F82">
            <w:pPr>
              <w:numPr>
                <w:ilvl w:val="0"/>
                <w:numId w:val="23"/>
              </w:numPr>
              <w:rPr>
                <w:rFonts w:cs="Arial"/>
              </w:rPr>
            </w:pPr>
            <w:r w:rsidRPr="001E39D3">
              <w:rPr>
                <w:rFonts w:cs="Arial"/>
                <w:sz w:val="22"/>
                <w:szCs w:val="22"/>
              </w:rPr>
              <w:t>Safe and appropriate prescribing of psychotropic medication</w:t>
            </w:r>
          </w:p>
          <w:p w:rsidR="00777F82" w:rsidRPr="001E39D3" w:rsidRDefault="00777F82" w:rsidP="00777F82">
            <w:pPr>
              <w:numPr>
                <w:ilvl w:val="0"/>
                <w:numId w:val="23"/>
              </w:numPr>
              <w:rPr>
                <w:rFonts w:cs="Arial"/>
              </w:rPr>
            </w:pPr>
            <w:r w:rsidRPr="001E39D3">
              <w:rPr>
                <w:rFonts w:cs="Arial"/>
                <w:sz w:val="22"/>
                <w:szCs w:val="22"/>
              </w:rPr>
              <w:t>Multidisciplinary team working</w:t>
            </w:r>
          </w:p>
          <w:p w:rsidR="00777F82" w:rsidRPr="001E39D3" w:rsidRDefault="00777F82" w:rsidP="0069317B">
            <w:pPr>
              <w:rPr>
                <w:rFonts w:cs="Arial"/>
              </w:rPr>
            </w:pPr>
            <w:r w:rsidRPr="001E39D3">
              <w:rPr>
                <w:rFonts w:cs="Arial"/>
                <w:sz w:val="22"/>
                <w:szCs w:val="22"/>
              </w:rPr>
              <w:t>The trainee will also be able to develop their knowledge of:</w:t>
            </w:r>
          </w:p>
          <w:p w:rsidR="00777F82" w:rsidRPr="001E39D3" w:rsidRDefault="00777F82" w:rsidP="00777F82">
            <w:pPr>
              <w:numPr>
                <w:ilvl w:val="0"/>
                <w:numId w:val="24"/>
              </w:numPr>
              <w:rPr>
                <w:rFonts w:cs="Arial"/>
              </w:rPr>
            </w:pPr>
            <w:r w:rsidRPr="001E39D3">
              <w:rPr>
                <w:rFonts w:cs="Arial"/>
                <w:sz w:val="22"/>
                <w:szCs w:val="22"/>
              </w:rPr>
              <w:t>The full range of mental disorders occurring in adults of all ages</w:t>
            </w:r>
          </w:p>
          <w:p w:rsidR="00777F82" w:rsidRPr="001E39D3" w:rsidRDefault="00777F82" w:rsidP="00777F82">
            <w:pPr>
              <w:numPr>
                <w:ilvl w:val="0"/>
                <w:numId w:val="25"/>
              </w:numPr>
              <w:rPr>
                <w:rFonts w:cs="Arial"/>
              </w:rPr>
            </w:pPr>
            <w:r w:rsidRPr="001E39D3">
              <w:rPr>
                <w:rFonts w:cs="Arial"/>
                <w:sz w:val="22"/>
                <w:szCs w:val="22"/>
              </w:rPr>
              <w:t>Complex ethical and legal issues including use of the Mental Health Act and Mental Capacity Act</w:t>
            </w:r>
          </w:p>
          <w:p w:rsidR="00777F82" w:rsidRPr="001E39D3" w:rsidRDefault="00777F82" w:rsidP="00777F82">
            <w:pPr>
              <w:numPr>
                <w:ilvl w:val="0"/>
                <w:numId w:val="25"/>
              </w:numPr>
              <w:rPr>
                <w:rFonts w:cs="Arial"/>
              </w:rPr>
            </w:pPr>
            <w:r w:rsidRPr="001E39D3">
              <w:rPr>
                <w:rFonts w:cs="Arial"/>
                <w:sz w:val="22"/>
                <w:szCs w:val="22"/>
              </w:rPr>
              <w:t>End of life issues</w:t>
            </w:r>
          </w:p>
          <w:p w:rsidR="00777F82" w:rsidRPr="001E39D3" w:rsidRDefault="00777F82" w:rsidP="00777F82">
            <w:pPr>
              <w:numPr>
                <w:ilvl w:val="0"/>
                <w:numId w:val="25"/>
              </w:numPr>
              <w:rPr>
                <w:rFonts w:cs="Arial"/>
              </w:rPr>
            </w:pPr>
            <w:r w:rsidRPr="001E39D3">
              <w:rPr>
                <w:rFonts w:cs="Arial"/>
                <w:sz w:val="22"/>
                <w:szCs w:val="22"/>
              </w:rPr>
              <w:t>The interface between physical and mental health</w:t>
            </w:r>
          </w:p>
          <w:p w:rsidR="00777F82" w:rsidRPr="001E39D3" w:rsidRDefault="00777F82" w:rsidP="00777F82">
            <w:pPr>
              <w:numPr>
                <w:ilvl w:val="0"/>
                <w:numId w:val="25"/>
              </w:numPr>
              <w:rPr>
                <w:rFonts w:cs="Arial"/>
              </w:rPr>
            </w:pPr>
            <w:r w:rsidRPr="001E39D3">
              <w:rPr>
                <w:rFonts w:cs="Arial"/>
                <w:sz w:val="22"/>
                <w:szCs w:val="22"/>
              </w:rPr>
              <w:lastRenderedPageBreak/>
              <w:t>The place and practice of ECT in the treatment of severe depression</w:t>
            </w:r>
          </w:p>
          <w:p w:rsidR="00777F82" w:rsidRPr="001E39D3" w:rsidRDefault="00777F82" w:rsidP="0069317B">
            <w:pPr>
              <w:rPr>
                <w:rFonts w:cs="Arial"/>
              </w:rPr>
            </w:pPr>
          </w:p>
        </w:tc>
      </w:tr>
      <w:tr w:rsidR="00777F82" w:rsidRPr="001E39D3" w:rsidTr="0069317B">
        <w:trPr>
          <w:trHeight w:val="144"/>
        </w:trPr>
        <w:tc>
          <w:tcPr>
            <w:tcW w:w="2268" w:type="dxa"/>
            <w:tcMar>
              <w:top w:w="0" w:type="dxa"/>
              <w:left w:w="108" w:type="dxa"/>
              <w:bottom w:w="0" w:type="dxa"/>
              <w:right w:w="108" w:type="dxa"/>
            </w:tcMar>
            <w:hideMark/>
          </w:tcPr>
          <w:p w:rsidR="00777F82" w:rsidRPr="001E39D3" w:rsidRDefault="00777F82" w:rsidP="0069317B">
            <w:pPr>
              <w:rPr>
                <w:rFonts w:cs="Arial"/>
                <w:b/>
                <w:bCs/>
              </w:rPr>
            </w:pPr>
            <w:r w:rsidRPr="001E39D3">
              <w:rPr>
                <w:rFonts w:cs="Arial"/>
                <w:b/>
                <w:bCs/>
                <w:sz w:val="22"/>
                <w:szCs w:val="22"/>
              </w:rPr>
              <w:lastRenderedPageBreak/>
              <w:t>Where the placement is based</w:t>
            </w:r>
          </w:p>
        </w:tc>
        <w:tc>
          <w:tcPr>
            <w:tcW w:w="5760" w:type="dxa"/>
            <w:tcMar>
              <w:top w:w="0" w:type="dxa"/>
              <w:left w:w="108" w:type="dxa"/>
              <w:bottom w:w="0" w:type="dxa"/>
              <w:right w:w="108" w:type="dxa"/>
            </w:tcMar>
          </w:tcPr>
          <w:p w:rsidR="00777F82" w:rsidRPr="001E39D3" w:rsidRDefault="00777F82" w:rsidP="0069317B">
            <w:pPr>
              <w:rPr>
                <w:rFonts w:cs="Arial"/>
              </w:rPr>
            </w:pPr>
            <w:r w:rsidRPr="001E39D3">
              <w:rPr>
                <w:rFonts w:cs="Arial"/>
                <w:sz w:val="22"/>
                <w:szCs w:val="22"/>
              </w:rPr>
              <w:t>Willows Ward, Woodlands Unit, Ipswich Hospital</w:t>
            </w:r>
          </w:p>
          <w:p w:rsidR="00777F82" w:rsidRPr="001E39D3" w:rsidRDefault="00777F82" w:rsidP="0069317B">
            <w:pPr>
              <w:jc w:val="both"/>
              <w:rPr>
                <w:rFonts w:cs="Arial"/>
              </w:rPr>
            </w:pPr>
          </w:p>
        </w:tc>
      </w:tr>
      <w:tr w:rsidR="00777F82" w:rsidRPr="001E39D3" w:rsidTr="0069317B">
        <w:trPr>
          <w:trHeight w:val="144"/>
        </w:trPr>
        <w:tc>
          <w:tcPr>
            <w:tcW w:w="2268" w:type="dxa"/>
            <w:tcMar>
              <w:top w:w="0" w:type="dxa"/>
              <w:left w:w="108" w:type="dxa"/>
              <w:bottom w:w="0" w:type="dxa"/>
              <w:right w:w="108" w:type="dxa"/>
            </w:tcMar>
            <w:hideMark/>
          </w:tcPr>
          <w:p w:rsidR="00777F82" w:rsidRPr="001E39D3" w:rsidRDefault="00777F82" w:rsidP="0069317B">
            <w:pPr>
              <w:rPr>
                <w:rFonts w:cs="Arial"/>
                <w:b/>
                <w:bCs/>
              </w:rPr>
            </w:pPr>
            <w:r w:rsidRPr="001E39D3">
              <w:rPr>
                <w:rFonts w:cs="Arial"/>
                <w:b/>
                <w:bCs/>
                <w:sz w:val="22"/>
                <w:szCs w:val="22"/>
              </w:rPr>
              <w:t>Clinical Supervisor(s) for the placement</w:t>
            </w:r>
          </w:p>
        </w:tc>
        <w:tc>
          <w:tcPr>
            <w:tcW w:w="5760" w:type="dxa"/>
            <w:tcMar>
              <w:top w:w="0" w:type="dxa"/>
              <w:left w:w="108" w:type="dxa"/>
              <w:bottom w:w="0" w:type="dxa"/>
              <w:right w:w="108" w:type="dxa"/>
            </w:tcMar>
          </w:tcPr>
          <w:p w:rsidR="00777F82" w:rsidRPr="001E39D3" w:rsidRDefault="00777F82" w:rsidP="0069317B">
            <w:pPr>
              <w:jc w:val="both"/>
              <w:rPr>
                <w:rFonts w:cs="Arial"/>
              </w:rPr>
            </w:pPr>
            <w:r w:rsidRPr="001E39D3">
              <w:rPr>
                <w:rFonts w:cs="Arial"/>
                <w:sz w:val="22"/>
                <w:szCs w:val="22"/>
              </w:rPr>
              <w:t>Dr Laura Head</w:t>
            </w:r>
          </w:p>
          <w:p w:rsidR="00777F82" w:rsidRPr="001E39D3" w:rsidRDefault="00777F82" w:rsidP="0069317B">
            <w:pPr>
              <w:jc w:val="both"/>
              <w:rPr>
                <w:rFonts w:cs="Arial"/>
              </w:rPr>
            </w:pPr>
            <w:r w:rsidRPr="001E39D3">
              <w:rPr>
                <w:rFonts w:cs="Arial"/>
                <w:sz w:val="22"/>
                <w:szCs w:val="22"/>
              </w:rPr>
              <w:t xml:space="preserve">(and Dr Stephen Tucker from </w:t>
            </w:r>
            <w:proofErr w:type="spellStart"/>
            <w:r w:rsidRPr="001E39D3">
              <w:rPr>
                <w:rFonts w:cs="Arial"/>
                <w:sz w:val="22"/>
                <w:szCs w:val="22"/>
              </w:rPr>
              <w:t>mid 2012</w:t>
            </w:r>
            <w:proofErr w:type="spellEnd"/>
            <w:r w:rsidRPr="001E39D3">
              <w:rPr>
                <w:rFonts w:cs="Arial"/>
                <w:sz w:val="22"/>
                <w:szCs w:val="22"/>
              </w:rPr>
              <w:t>)</w:t>
            </w:r>
          </w:p>
          <w:p w:rsidR="00777F82" w:rsidRPr="001E39D3" w:rsidRDefault="00777F82" w:rsidP="0069317B">
            <w:pPr>
              <w:jc w:val="both"/>
              <w:rPr>
                <w:rFonts w:cs="Arial"/>
              </w:rPr>
            </w:pPr>
          </w:p>
        </w:tc>
      </w:tr>
      <w:tr w:rsidR="00777F82" w:rsidRPr="001E39D3" w:rsidTr="0069317B">
        <w:trPr>
          <w:trHeight w:val="144"/>
        </w:trPr>
        <w:tc>
          <w:tcPr>
            <w:tcW w:w="2268" w:type="dxa"/>
            <w:tcMar>
              <w:top w:w="0" w:type="dxa"/>
              <w:left w:w="108" w:type="dxa"/>
              <w:bottom w:w="0" w:type="dxa"/>
              <w:right w:w="108" w:type="dxa"/>
            </w:tcMar>
            <w:hideMark/>
          </w:tcPr>
          <w:p w:rsidR="00777F82" w:rsidRPr="001E39D3" w:rsidRDefault="00777F82" w:rsidP="0069317B">
            <w:pPr>
              <w:rPr>
                <w:rFonts w:cs="Arial"/>
                <w:b/>
                <w:bCs/>
              </w:rPr>
            </w:pPr>
            <w:r w:rsidRPr="001E39D3">
              <w:rPr>
                <w:rFonts w:cs="Arial"/>
                <w:b/>
                <w:bCs/>
                <w:sz w:val="22"/>
                <w:szCs w:val="22"/>
              </w:rPr>
              <w:t>Main duties of the placement</w:t>
            </w:r>
          </w:p>
        </w:tc>
        <w:tc>
          <w:tcPr>
            <w:tcW w:w="5760" w:type="dxa"/>
            <w:tcMar>
              <w:top w:w="0" w:type="dxa"/>
              <w:left w:w="108" w:type="dxa"/>
              <w:bottom w:w="0" w:type="dxa"/>
              <w:right w:w="108" w:type="dxa"/>
            </w:tcMar>
          </w:tcPr>
          <w:p w:rsidR="00777F82" w:rsidRPr="001E39D3" w:rsidRDefault="00777F82" w:rsidP="0069317B">
            <w:pPr>
              <w:jc w:val="both"/>
              <w:rPr>
                <w:rFonts w:cs="Arial"/>
              </w:rPr>
            </w:pPr>
            <w:r w:rsidRPr="001E39D3">
              <w:rPr>
                <w:rFonts w:cs="Arial"/>
                <w:sz w:val="22"/>
                <w:szCs w:val="22"/>
              </w:rPr>
              <w:t xml:space="preserve">These include admitting, assessing and monitoring the physical and mental health of older patients with both functional and organic mental health problems admitted to Willows Ward. The trainee will be expected to take particular responsibility together with the other doctors in the team for ensuring that physical examinations and investigations are carried out appropriately and followed up if necessary and for ensuring that a relevant and accurate medical record is kept. In conjunction with the consultant and senior trainee the FY2 trainee will participate in multidisciplinary case conferences and help to formulate and carry out treatment plans. </w:t>
            </w:r>
          </w:p>
          <w:p w:rsidR="00777F82" w:rsidRPr="001E39D3" w:rsidRDefault="00777F82" w:rsidP="0069317B">
            <w:pPr>
              <w:jc w:val="both"/>
              <w:rPr>
                <w:rFonts w:cs="Arial"/>
              </w:rPr>
            </w:pPr>
          </w:p>
        </w:tc>
      </w:tr>
      <w:tr w:rsidR="00777F82" w:rsidRPr="001E39D3" w:rsidTr="0069317B">
        <w:trPr>
          <w:trHeight w:val="144"/>
        </w:trPr>
        <w:tc>
          <w:tcPr>
            <w:tcW w:w="2268" w:type="dxa"/>
            <w:tcMar>
              <w:top w:w="0" w:type="dxa"/>
              <w:left w:w="108" w:type="dxa"/>
              <w:bottom w:w="0" w:type="dxa"/>
              <w:right w:w="108" w:type="dxa"/>
            </w:tcMar>
            <w:hideMark/>
          </w:tcPr>
          <w:p w:rsidR="00777F82" w:rsidRPr="001E39D3" w:rsidRDefault="00777F82" w:rsidP="0069317B">
            <w:pPr>
              <w:rPr>
                <w:rFonts w:cs="Arial"/>
                <w:b/>
                <w:bCs/>
              </w:rPr>
            </w:pPr>
            <w:r w:rsidRPr="001E39D3">
              <w:rPr>
                <w:rFonts w:cs="Arial"/>
                <w:b/>
                <w:bCs/>
                <w:sz w:val="22"/>
                <w:szCs w:val="22"/>
              </w:rPr>
              <w:t>Typical working pattern in this placement</w:t>
            </w:r>
          </w:p>
        </w:tc>
        <w:tc>
          <w:tcPr>
            <w:tcW w:w="5760" w:type="dxa"/>
            <w:tcMar>
              <w:top w:w="0" w:type="dxa"/>
              <w:left w:w="108" w:type="dxa"/>
              <w:bottom w:w="0" w:type="dxa"/>
              <w:right w:w="108" w:type="dxa"/>
            </w:tcMar>
          </w:tcPr>
          <w:p w:rsidR="00777F82" w:rsidRPr="001E39D3" w:rsidRDefault="00777F82" w:rsidP="0069317B">
            <w:pPr>
              <w:rPr>
                <w:rFonts w:cs="Arial"/>
              </w:rPr>
            </w:pPr>
            <w:r w:rsidRPr="001E39D3">
              <w:rPr>
                <w:rFonts w:cs="Arial"/>
                <w:sz w:val="22"/>
                <w:szCs w:val="22"/>
              </w:rPr>
              <w:t>Typical working pattern in this post :</w:t>
            </w:r>
          </w:p>
          <w:p w:rsidR="00777F82" w:rsidRPr="001E39D3" w:rsidRDefault="00777F82" w:rsidP="0069317B">
            <w:pPr>
              <w:rPr>
                <w:rFonts w:cs="Arial"/>
              </w:rPr>
            </w:pPr>
          </w:p>
          <w:p w:rsidR="00777F82" w:rsidRPr="001E39D3" w:rsidRDefault="00777F82" w:rsidP="0069317B">
            <w:pPr>
              <w:rPr>
                <w:rFonts w:cs="Arial"/>
              </w:rPr>
            </w:pPr>
            <w:r w:rsidRPr="001E39D3">
              <w:rPr>
                <w:rFonts w:cs="Arial"/>
                <w:sz w:val="22"/>
                <w:szCs w:val="22"/>
              </w:rPr>
              <w:t xml:space="preserve">Mon:      9.15 ward round </w:t>
            </w:r>
          </w:p>
          <w:p w:rsidR="00777F82" w:rsidRPr="001E39D3" w:rsidRDefault="00777F82" w:rsidP="0069317B">
            <w:pPr>
              <w:rPr>
                <w:rFonts w:cs="Arial"/>
              </w:rPr>
            </w:pPr>
            <w:r w:rsidRPr="001E39D3">
              <w:rPr>
                <w:rFonts w:cs="Arial"/>
                <w:sz w:val="22"/>
                <w:szCs w:val="22"/>
              </w:rPr>
              <w:t xml:space="preserve">              14.00 case conference          </w:t>
            </w:r>
          </w:p>
          <w:p w:rsidR="00777F82" w:rsidRPr="001E39D3" w:rsidRDefault="00777F82" w:rsidP="0069317B">
            <w:pPr>
              <w:rPr>
                <w:rFonts w:cs="Arial"/>
              </w:rPr>
            </w:pPr>
            <w:r w:rsidRPr="001E39D3">
              <w:rPr>
                <w:rFonts w:cs="Arial"/>
                <w:sz w:val="22"/>
                <w:szCs w:val="22"/>
              </w:rPr>
              <w:t>Tues:     09.00 ward work and supervision OR ECT                              </w:t>
            </w:r>
          </w:p>
          <w:p w:rsidR="00777F82" w:rsidRPr="001E39D3" w:rsidRDefault="00777F82" w:rsidP="0069317B">
            <w:pPr>
              <w:rPr>
                <w:rFonts w:cs="Arial"/>
              </w:rPr>
            </w:pPr>
            <w:r w:rsidRPr="001E39D3">
              <w:rPr>
                <w:rFonts w:cs="Arial"/>
                <w:sz w:val="22"/>
                <w:szCs w:val="22"/>
              </w:rPr>
              <w:t>              14.00 case conference</w:t>
            </w:r>
          </w:p>
          <w:p w:rsidR="00777F82" w:rsidRPr="001E39D3" w:rsidRDefault="00777F82" w:rsidP="0069317B">
            <w:pPr>
              <w:rPr>
                <w:rFonts w:cs="Arial"/>
              </w:rPr>
            </w:pPr>
            <w:r w:rsidRPr="001E39D3">
              <w:rPr>
                <w:rFonts w:cs="Arial"/>
                <w:sz w:val="22"/>
                <w:szCs w:val="22"/>
              </w:rPr>
              <w:t>Wed:     9.15 ward round</w:t>
            </w:r>
          </w:p>
          <w:p w:rsidR="00777F82" w:rsidRPr="001E39D3" w:rsidRDefault="00777F82" w:rsidP="0069317B">
            <w:pPr>
              <w:rPr>
                <w:rFonts w:cs="Arial"/>
              </w:rPr>
            </w:pPr>
            <w:r w:rsidRPr="001E39D3">
              <w:rPr>
                <w:rFonts w:cs="Arial"/>
                <w:sz w:val="22"/>
                <w:szCs w:val="22"/>
              </w:rPr>
              <w:t>              13.00 FY2 teaching</w:t>
            </w:r>
          </w:p>
          <w:p w:rsidR="00777F82" w:rsidRPr="001E39D3" w:rsidRDefault="00777F82" w:rsidP="0069317B">
            <w:pPr>
              <w:rPr>
                <w:rFonts w:cs="Arial"/>
              </w:rPr>
            </w:pPr>
            <w:r w:rsidRPr="001E39D3">
              <w:rPr>
                <w:rFonts w:cs="Arial"/>
                <w:sz w:val="22"/>
                <w:szCs w:val="22"/>
              </w:rPr>
              <w:t>              14.00 departmental teaching</w:t>
            </w:r>
          </w:p>
          <w:p w:rsidR="00777F82" w:rsidRPr="001E39D3" w:rsidRDefault="00777F82" w:rsidP="0069317B">
            <w:pPr>
              <w:rPr>
                <w:rFonts w:cs="Arial"/>
              </w:rPr>
            </w:pPr>
            <w:r w:rsidRPr="001E39D3">
              <w:rPr>
                <w:rFonts w:cs="Arial"/>
                <w:sz w:val="22"/>
                <w:szCs w:val="22"/>
              </w:rPr>
              <w:t xml:space="preserve">Thurs:     09.00 ward work (clinical meetings 2x monthly)   </w:t>
            </w:r>
          </w:p>
          <w:p w:rsidR="00777F82" w:rsidRPr="001E39D3" w:rsidRDefault="00777F82" w:rsidP="0069317B">
            <w:pPr>
              <w:rPr>
                <w:rFonts w:cs="Arial"/>
              </w:rPr>
            </w:pPr>
            <w:r w:rsidRPr="001E39D3">
              <w:rPr>
                <w:rFonts w:cs="Arial"/>
                <w:sz w:val="22"/>
                <w:szCs w:val="22"/>
              </w:rPr>
              <w:t>               14.00 case conference</w:t>
            </w:r>
          </w:p>
          <w:p w:rsidR="00777F82" w:rsidRPr="001E39D3" w:rsidRDefault="00777F82" w:rsidP="0069317B">
            <w:pPr>
              <w:rPr>
                <w:rFonts w:cs="Arial"/>
              </w:rPr>
            </w:pPr>
            <w:r w:rsidRPr="001E39D3">
              <w:rPr>
                <w:rFonts w:cs="Arial"/>
                <w:sz w:val="22"/>
                <w:szCs w:val="22"/>
              </w:rPr>
              <w:t>Fri:          09.15 ward round and case conference</w:t>
            </w:r>
          </w:p>
          <w:p w:rsidR="00777F82" w:rsidRPr="001E39D3" w:rsidRDefault="00777F82" w:rsidP="0069317B">
            <w:pPr>
              <w:rPr>
                <w:rFonts w:cs="Arial"/>
              </w:rPr>
            </w:pPr>
            <w:r w:rsidRPr="001E39D3">
              <w:rPr>
                <w:rFonts w:cs="Arial"/>
                <w:sz w:val="22"/>
                <w:szCs w:val="22"/>
              </w:rPr>
              <w:t xml:space="preserve">               13.00 ward work OR visit with crisis team                </w:t>
            </w:r>
          </w:p>
          <w:p w:rsidR="00777F82" w:rsidRPr="001E39D3" w:rsidRDefault="00777F82" w:rsidP="0069317B">
            <w:pPr>
              <w:rPr>
                <w:rFonts w:cs="Arial"/>
              </w:rPr>
            </w:pPr>
            <w:r w:rsidRPr="001E39D3">
              <w:rPr>
                <w:rFonts w:cs="Arial"/>
                <w:sz w:val="22"/>
                <w:szCs w:val="22"/>
              </w:rPr>
              <w:t xml:space="preserve">Sat:         None unless on call              </w:t>
            </w:r>
          </w:p>
          <w:p w:rsidR="00777F82" w:rsidRPr="001E39D3" w:rsidRDefault="00777F82" w:rsidP="0069317B">
            <w:pPr>
              <w:rPr>
                <w:rFonts w:cs="Arial"/>
              </w:rPr>
            </w:pPr>
            <w:r w:rsidRPr="001E39D3">
              <w:rPr>
                <w:rFonts w:cs="Arial"/>
                <w:sz w:val="22"/>
                <w:szCs w:val="22"/>
              </w:rPr>
              <w:t xml:space="preserve">Sun:        None unless on call             </w:t>
            </w:r>
          </w:p>
          <w:p w:rsidR="00777F82" w:rsidRPr="001E39D3" w:rsidRDefault="00777F82" w:rsidP="0069317B">
            <w:pPr>
              <w:rPr>
                <w:rFonts w:cs="Arial"/>
              </w:rPr>
            </w:pPr>
          </w:p>
          <w:p w:rsidR="00777F82" w:rsidRPr="001E39D3" w:rsidRDefault="00777F82" w:rsidP="0069317B">
            <w:pPr>
              <w:rPr>
                <w:rFonts w:cs="Arial"/>
              </w:rPr>
            </w:pPr>
            <w:r w:rsidRPr="001E39D3">
              <w:rPr>
                <w:rFonts w:cs="Arial"/>
                <w:i/>
                <w:iCs/>
                <w:sz w:val="22"/>
                <w:szCs w:val="22"/>
              </w:rPr>
              <w:t>On call requirements:</w:t>
            </w:r>
            <w:r w:rsidRPr="001E39D3">
              <w:rPr>
                <w:rFonts w:cs="Arial"/>
                <w:sz w:val="22"/>
                <w:szCs w:val="22"/>
              </w:rPr>
              <w:t xml:space="preserve"> this works out as approximately</w:t>
            </w:r>
          </w:p>
          <w:p w:rsidR="00777F82" w:rsidRPr="001E39D3" w:rsidRDefault="00777F82" w:rsidP="00777F82">
            <w:pPr>
              <w:numPr>
                <w:ilvl w:val="0"/>
                <w:numId w:val="26"/>
              </w:numPr>
              <w:rPr>
                <w:rFonts w:cs="Arial"/>
              </w:rPr>
            </w:pPr>
            <w:r w:rsidRPr="001E39D3">
              <w:rPr>
                <w:rFonts w:cs="Arial"/>
                <w:sz w:val="22"/>
                <w:szCs w:val="22"/>
              </w:rPr>
              <w:t>1 twilight shift per week (17.00-21.00)</w:t>
            </w:r>
          </w:p>
          <w:p w:rsidR="00777F82" w:rsidRPr="001E39D3" w:rsidRDefault="00777F82" w:rsidP="00777F82">
            <w:pPr>
              <w:numPr>
                <w:ilvl w:val="0"/>
                <w:numId w:val="26"/>
              </w:numPr>
              <w:rPr>
                <w:rFonts w:cs="Arial"/>
              </w:rPr>
            </w:pPr>
            <w:r w:rsidRPr="001E39D3">
              <w:rPr>
                <w:rFonts w:cs="Arial"/>
                <w:sz w:val="22"/>
                <w:szCs w:val="22"/>
              </w:rPr>
              <w:t>1 daytime “liaison” shift per week (available to carry out assessments in general hospital)</w:t>
            </w:r>
          </w:p>
          <w:p w:rsidR="00777F82" w:rsidRDefault="00777F82" w:rsidP="00777F82">
            <w:pPr>
              <w:numPr>
                <w:ilvl w:val="0"/>
                <w:numId w:val="26"/>
              </w:numPr>
              <w:rPr>
                <w:rFonts w:cs="Arial"/>
              </w:rPr>
            </w:pPr>
            <w:r w:rsidRPr="001E39D3">
              <w:rPr>
                <w:rFonts w:cs="Arial"/>
                <w:sz w:val="22"/>
                <w:szCs w:val="22"/>
              </w:rPr>
              <w:t>1 weekend per month (09.00 to 21.00 Saturday and Sunday)</w:t>
            </w:r>
          </w:p>
          <w:p w:rsidR="00777F82" w:rsidRPr="001E39D3" w:rsidRDefault="00777F82" w:rsidP="0069317B">
            <w:pPr>
              <w:ind w:left="780"/>
              <w:rPr>
                <w:rFonts w:cs="Arial"/>
              </w:rPr>
            </w:pPr>
          </w:p>
        </w:tc>
      </w:tr>
      <w:tr w:rsidR="00777F82" w:rsidRPr="001E39D3" w:rsidTr="0069317B">
        <w:trPr>
          <w:trHeight w:val="144"/>
        </w:trPr>
        <w:tc>
          <w:tcPr>
            <w:tcW w:w="2268" w:type="dxa"/>
            <w:tcMar>
              <w:top w:w="0" w:type="dxa"/>
              <w:left w:w="108" w:type="dxa"/>
              <w:bottom w:w="0" w:type="dxa"/>
              <w:right w:w="108" w:type="dxa"/>
            </w:tcMar>
            <w:hideMark/>
          </w:tcPr>
          <w:p w:rsidR="00777F82" w:rsidRPr="001E39D3" w:rsidRDefault="00777F82" w:rsidP="0069317B">
            <w:pPr>
              <w:rPr>
                <w:rFonts w:cs="Arial"/>
                <w:b/>
                <w:bCs/>
              </w:rPr>
            </w:pPr>
            <w:r w:rsidRPr="001E39D3">
              <w:rPr>
                <w:rFonts w:cs="Arial"/>
                <w:b/>
                <w:bCs/>
                <w:sz w:val="22"/>
                <w:szCs w:val="22"/>
              </w:rPr>
              <w:t>Employer Information</w:t>
            </w:r>
          </w:p>
        </w:tc>
        <w:tc>
          <w:tcPr>
            <w:tcW w:w="5760" w:type="dxa"/>
            <w:tcMar>
              <w:top w:w="0" w:type="dxa"/>
              <w:left w:w="108" w:type="dxa"/>
              <w:bottom w:w="0" w:type="dxa"/>
              <w:right w:w="108" w:type="dxa"/>
            </w:tcMar>
          </w:tcPr>
          <w:p w:rsidR="00777F82" w:rsidRPr="001E39D3" w:rsidRDefault="00777F82" w:rsidP="0069317B">
            <w:pPr>
              <w:pStyle w:val="BodyText"/>
              <w:rPr>
                <w:rFonts w:ascii="Arial" w:hAnsi="Arial" w:cs="Arial"/>
              </w:rPr>
            </w:pPr>
            <w:r w:rsidRPr="001E39D3">
              <w:rPr>
                <w:rFonts w:ascii="Arial" w:hAnsi="Arial" w:cs="Arial"/>
              </w:rPr>
              <w:t>The employer for this post is Norfolk and Suffolk NHS Foundation Trust (NSFT).</w:t>
            </w:r>
          </w:p>
          <w:p w:rsidR="00777F82" w:rsidRPr="001E39D3" w:rsidRDefault="00777F82" w:rsidP="0069317B">
            <w:pPr>
              <w:pStyle w:val="BodyText"/>
              <w:rPr>
                <w:rFonts w:ascii="Arial" w:hAnsi="Arial" w:cs="Arial"/>
              </w:rPr>
            </w:pPr>
            <w:r w:rsidRPr="001E39D3">
              <w:rPr>
                <w:rFonts w:ascii="Arial" w:hAnsi="Arial" w:cs="Arial"/>
              </w:rPr>
              <w:t xml:space="preserve">NSFT was formed in January 2012 when the Suffolk mental health trust merged with the existing foundation trust in Norfolk. The Trust provides mental health and learning disability services for the whole of Norfolk and </w:t>
            </w:r>
            <w:r w:rsidRPr="001E39D3">
              <w:rPr>
                <w:rFonts w:ascii="Arial" w:hAnsi="Arial" w:cs="Arial"/>
              </w:rPr>
              <w:lastRenderedPageBreak/>
              <w:t xml:space="preserve">Suffolk and Trust Headquarters are at </w:t>
            </w:r>
            <w:proofErr w:type="spellStart"/>
            <w:r w:rsidRPr="001E39D3">
              <w:rPr>
                <w:rFonts w:ascii="Arial" w:hAnsi="Arial" w:cs="Arial"/>
              </w:rPr>
              <w:t>Hellesdon</w:t>
            </w:r>
            <w:proofErr w:type="spellEnd"/>
            <w:r w:rsidRPr="001E39D3">
              <w:rPr>
                <w:rFonts w:ascii="Arial" w:hAnsi="Arial" w:cs="Arial"/>
              </w:rPr>
              <w:t xml:space="preserve"> Hospital, Norwich. </w:t>
            </w:r>
          </w:p>
          <w:p w:rsidR="00777F82" w:rsidRPr="001E39D3" w:rsidRDefault="00777F82" w:rsidP="0069317B">
            <w:pPr>
              <w:pStyle w:val="BodyText"/>
              <w:rPr>
                <w:rFonts w:ascii="Arial" w:hAnsi="Arial" w:cs="Arial"/>
              </w:rPr>
            </w:pPr>
            <w:r w:rsidRPr="001E39D3">
              <w:rPr>
                <w:rFonts w:ascii="Arial" w:hAnsi="Arial" w:cs="Arial"/>
              </w:rPr>
              <w:t>The Woodlands Unit is a purpose built acute mental health unit opened in 2011 on the same site as the Ipswich Hospital – a busy district general hospital. The Woodlands provides all acute adult inpatient beds (except forensic and learning disability beds) for East Suffolk, covering a similar catchment area to the Ipswich Hospital.</w:t>
            </w:r>
          </w:p>
          <w:p w:rsidR="00777F82" w:rsidRPr="001E39D3" w:rsidRDefault="00777F82" w:rsidP="0069317B">
            <w:pPr>
              <w:pStyle w:val="BodyText"/>
              <w:rPr>
                <w:rFonts w:ascii="Arial" w:hAnsi="Arial" w:cs="Arial"/>
              </w:rPr>
            </w:pPr>
          </w:p>
        </w:tc>
      </w:tr>
    </w:tbl>
    <w:p w:rsidR="00777F82" w:rsidRPr="001E39D3" w:rsidRDefault="00777F82" w:rsidP="00777F82">
      <w:pPr>
        <w:rPr>
          <w:rFonts w:cs="Arial"/>
          <w:sz w:val="22"/>
          <w:szCs w:val="22"/>
          <w:lang w:val="en-US"/>
        </w:rPr>
      </w:pPr>
    </w:p>
    <w:p w:rsidR="00777F82" w:rsidRPr="001E39D3" w:rsidRDefault="00777F82" w:rsidP="00777F82">
      <w:pPr>
        <w:rPr>
          <w:rFonts w:cs="Arial"/>
          <w:sz w:val="22"/>
          <w:szCs w:val="22"/>
          <w:lang w:val="en-US"/>
        </w:rPr>
      </w:pPr>
      <w:r w:rsidRPr="001E39D3">
        <w:rPr>
          <w:rFonts w:cs="Arial"/>
          <w:sz w:val="22"/>
          <w:szCs w:val="22"/>
          <w:lang w:val="en-US"/>
        </w:rPr>
        <w:t>It is important to note that this description is a typical example of your placement and may be subject to change.</w:t>
      </w:r>
    </w:p>
    <w:p w:rsidR="00777F82" w:rsidRPr="001E39D3" w:rsidRDefault="00777F82" w:rsidP="00777F82">
      <w:pPr>
        <w:rPr>
          <w:sz w:val="22"/>
          <w:szCs w:val="22"/>
          <w:lang w:val="en-US"/>
        </w:rPr>
      </w:pPr>
    </w:p>
    <w:p w:rsidR="00777F82" w:rsidRPr="001E39D3" w:rsidRDefault="00777F82" w:rsidP="00777F82">
      <w:pPr>
        <w:rPr>
          <w:sz w:val="22"/>
          <w:szCs w:val="22"/>
          <w:lang w:val="en-US"/>
        </w:rPr>
      </w:pPr>
    </w:p>
    <w:p w:rsidR="00777F82" w:rsidRPr="001E39D3" w:rsidRDefault="00777F82" w:rsidP="00777F82">
      <w:pPr>
        <w:rPr>
          <w:sz w:val="22"/>
          <w:szCs w:val="22"/>
        </w:rPr>
      </w:pPr>
    </w:p>
    <w:p w:rsidR="00DF21D4" w:rsidRPr="00777F82" w:rsidRDefault="00DF21D4" w:rsidP="00777F82">
      <w:bookmarkStart w:id="0" w:name="_GoBack"/>
      <w:bookmarkEnd w:id="0"/>
    </w:p>
    <w:sectPr w:rsidR="00DF21D4" w:rsidRPr="00777F82" w:rsidSect="00925F85">
      <w:headerReference w:type="default" r:id="rId8"/>
      <w:footerReference w:type="default" r:id="rId9"/>
      <w:pgSz w:w="11906" w:h="16838"/>
      <w:pgMar w:top="1701" w:right="1800" w:bottom="1418" w:left="1800" w:header="708" w:footer="2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5BF" w:rsidRDefault="00EE05BF" w:rsidP="00C2247A">
      <w:r>
        <w:separator/>
      </w:r>
    </w:p>
  </w:endnote>
  <w:endnote w:type="continuationSeparator" w:id="0">
    <w:p w:rsidR="00EE05BF" w:rsidRDefault="00EE05BF" w:rsidP="00C2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05D" w:rsidRPr="001B0DFB" w:rsidRDefault="00EB508F" w:rsidP="00EB508F">
    <w:pPr>
      <w:ind w:left="720" w:firstLine="720"/>
      <w:rPr>
        <w:rFonts w:ascii="Calibri" w:hAnsi="Calibri" w:cs="Calibri"/>
      </w:rPr>
    </w:pPr>
    <w:r>
      <w:rPr>
        <w:noProof/>
      </w:rPr>
      <w:drawing>
        <wp:anchor distT="0" distB="0" distL="114300" distR="114300" simplePos="0" relativeHeight="251659264" behindDoc="1" locked="0" layoutInCell="1" allowOverlap="1" wp14:anchorId="2E2F6A56" wp14:editId="6C0F2D9F">
          <wp:simplePos x="0" y="0"/>
          <wp:positionH relativeFrom="column">
            <wp:posOffset>-1372870</wp:posOffset>
          </wp:positionH>
          <wp:positionV relativeFrom="paragraph">
            <wp:posOffset>-141605</wp:posOffset>
          </wp:positionV>
          <wp:extent cx="7559040" cy="1016000"/>
          <wp:effectExtent l="0" t="0" r="3810" b="0"/>
          <wp:wrapNone/>
          <wp:docPr id="10" name="Picture 10"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p w:rsidR="000A605D" w:rsidRPr="001B0DFB" w:rsidRDefault="00A65291" w:rsidP="00EB508F">
    <w:pPr>
      <w:ind w:left="720" w:firstLine="720"/>
      <w:rPr>
        <w:rFonts w:ascii="Calibri" w:hAnsi="Calibri" w:cs="Calibri"/>
      </w:rPr>
    </w:pPr>
    <w:r>
      <w:rPr>
        <w:rFonts w:ascii="Calibri" w:hAnsi="Calibri" w:cs="Calibri"/>
      </w:rPr>
      <w:t xml:space="preserve"> </w:t>
    </w:r>
  </w:p>
  <w:p w:rsidR="000A605D" w:rsidRDefault="000A60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5BF" w:rsidRDefault="00EE05BF" w:rsidP="00C2247A">
      <w:r>
        <w:separator/>
      </w:r>
    </w:p>
  </w:footnote>
  <w:footnote w:type="continuationSeparator" w:id="0">
    <w:p w:rsidR="00EE05BF" w:rsidRDefault="00EE05BF" w:rsidP="00C22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08F" w:rsidRDefault="00A65291">
    <w:pPr>
      <w:pStyle w:val="Header"/>
    </w:pPr>
    <w:r>
      <w:rPr>
        <w:rFonts w:asciiTheme="minorHAnsi" w:hAnsiTheme="minorHAnsi" w:cstheme="minorHAnsi"/>
        <w:noProof/>
      </w:rPr>
      <w:drawing>
        <wp:anchor distT="0" distB="0" distL="114300" distR="114300" simplePos="0" relativeHeight="251661312" behindDoc="1" locked="0" layoutInCell="1" allowOverlap="1" wp14:anchorId="7DF21518" wp14:editId="4B2038CA">
          <wp:simplePos x="0" y="0"/>
          <wp:positionH relativeFrom="column">
            <wp:posOffset>3371850</wp:posOffset>
          </wp:positionH>
          <wp:positionV relativeFrom="paragraph">
            <wp:posOffset>-97155</wp:posOffset>
          </wp:positionV>
          <wp:extent cx="2700000" cy="684000"/>
          <wp:effectExtent l="0" t="0" r="571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E Logo.jpg"/>
                  <pic:cNvPicPr/>
                </pic:nvPicPr>
                <pic:blipFill>
                  <a:blip r:embed="rId1">
                    <a:extLst>
                      <a:ext uri="{28A0092B-C50C-407E-A947-70E740481C1C}">
                        <a14:useLocalDpi xmlns:a14="http://schemas.microsoft.com/office/drawing/2010/main" val="0"/>
                      </a:ext>
                    </a:extLst>
                  </a:blip>
                  <a:stretch>
                    <a:fillRect/>
                  </a:stretch>
                </pic:blipFill>
                <pic:spPr>
                  <a:xfrm>
                    <a:off x="0" y="0"/>
                    <a:ext cx="2700000" cy="684000"/>
                  </a:xfrm>
                  <a:prstGeom prst="rect">
                    <a:avLst/>
                  </a:prstGeom>
                </pic:spPr>
              </pic:pic>
            </a:graphicData>
          </a:graphic>
          <wp14:sizeRelH relativeFrom="page">
            <wp14:pctWidth>0</wp14:pctWidth>
          </wp14:sizeRelH>
          <wp14:sizeRelV relativeFrom="page">
            <wp14:pctHeight>0</wp14:pctHeight>
          </wp14:sizeRelV>
        </wp:anchor>
      </w:drawing>
    </w:r>
  </w:p>
  <w:p w:rsidR="00EB508F" w:rsidRDefault="00EB50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74B06"/>
    <w:multiLevelType w:val="hybridMultilevel"/>
    <w:tmpl w:val="F73AF62E"/>
    <w:lvl w:ilvl="0" w:tplc="08090001">
      <w:start w:val="1"/>
      <w:numFmt w:val="bullet"/>
      <w:lvlText w:val=""/>
      <w:lvlJc w:val="left"/>
      <w:pPr>
        <w:ind w:left="1035" w:hanging="360"/>
      </w:pPr>
      <w:rPr>
        <w:rFonts w:ascii="Symbol" w:hAnsi="Symbol"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1">
    <w:nsid w:val="0A726865"/>
    <w:multiLevelType w:val="hybridMultilevel"/>
    <w:tmpl w:val="8E6E7F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nsid w:val="0B70740B"/>
    <w:multiLevelType w:val="hybridMultilevel"/>
    <w:tmpl w:val="B89AA0C2"/>
    <w:lvl w:ilvl="0" w:tplc="7856D7FE">
      <w:numFmt w:val="bullet"/>
      <w:lvlText w:val=""/>
      <w:lvlJc w:val="left"/>
      <w:pPr>
        <w:tabs>
          <w:tab w:val="num" w:pos="720"/>
        </w:tabs>
        <w:ind w:left="720" w:hanging="360"/>
      </w:pPr>
      <w:rPr>
        <w:rFonts w:ascii="Symbol" w:eastAsia="Times New Roma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ED94C25"/>
    <w:multiLevelType w:val="hybridMultilevel"/>
    <w:tmpl w:val="CD4465D4"/>
    <w:lvl w:ilvl="0" w:tplc="08090001">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1BE3D26"/>
    <w:multiLevelType w:val="hybridMultilevel"/>
    <w:tmpl w:val="86560DB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nsid w:val="24C679D0"/>
    <w:multiLevelType w:val="hybridMultilevel"/>
    <w:tmpl w:val="D8527648"/>
    <w:lvl w:ilvl="0" w:tplc="08090001">
      <w:start w:val="1"/>
      <w:numFmt w:val="bullet"/>
      <w:lvlText w:val=""/>
      <w:lvlJc w:val="left"/>
      <w:pPr>
        <w:tabs>
          <w:tab w:val="num" w:pos="502"/>
        </w:tabs>
        <w:ind w:left="502"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nsid w:val="29317BCB"/>
    <w:multiLevelType w:val="hybridMultilevel"/>
    <w:tmpl w:val="E21024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2FF871CF"/>
    <w:multiLevelType w:val="hybridMultilevel"/>
    <w:tmpl w:val="DCE26AE0"/>
    <w:lvl w:ilvl="0" w:tplc="04090001">
      <w:start w:val="1"/>
      <w:numFmt w:val="bullet"/>
      <w:lvlText w:val=""/>
      <w:lvlJc w:val="left"/>
      <w:pPr>
        <w:tabs>
          <w:tab w:val="num" w:pos="780"/>
        </w:tabs>
        <w:ind w:left="7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39CE5755"/>
    <w:multiLevelType w:val="hybridMultilevel"/>
    <w:tmpl w:val="4738A60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F3E708B"/>
    <w:multiLevelType w:val="hybridMultilevel"/>
    <w:tmpl w:val="AB4606C0"/>
    <w:lvl w:ilvl="0" w:tplc="08090011">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nsid w:val="3FD51AA3"/>
    <w:multiLevelType w:val="hybridMultilevel"/>
    <w:tmpl w:val="0B4CE47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403912F0"/>
    <w:multiLevelType w:val="hybridMultilevel"/>
    <w:tmpl w:val="75443A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nsid w:val="54E4093E"/>
    <w:multiLevelType w:val="hybridMultilevel"/>
    <w:tmpl w:val="7338BCD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5D3F15C4"/>
    <w:multiLevelType w:val="hybridMultilevel"/>
    <w:tmpl w:val="443AF62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4">
    <w:nsid w:val="687E6FBD"/>
    <w:multiLevelType w:val="hybridMultilevel"/>
    <w:tmpl w:val="4B462FBA"/>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5">
    <w:nsid w:val="6EDA7C45"/>
    <w:multiLevelType w:val="hybridMultilevel"/>
    <w:tmpl w:val="3D5EC164"/>
    <w:lvl w:ilvl="0" w:tplc="08090001">
      <w:start w:val="1"/>
      <w:numFmt w:val="bullet"/>
      <w:lvlText w:val=""/>
      <w:lvlJc w:val="left"/>
      <w:pPr>
        <w:tabs>
          <w:tab w:val="num" w:pos="720"/>
        </w:tabs>
        <w:ind w:left="720" w:hanging="360"/>
      </w:pPr>
      <w:rPr>
        <w:rFonts w:ascii="Symbol" w:hAnsi="Symbol" w:hint="default"/>
      </w:rPr>
    </w:lvl>
    <w:lvl w:ilvl="1" w:tplc="BA1C36B2">
      <w:start w:val="2"/>
      <w:numFmt w:val="bullet"/>
      <w:lvlText w:val="-"/>
      <w:lvlJc w:val="left"/>
      <w:pPr>
        <w:tabs>
          <w:tab w:val="num" w:pos="1440"/>
        </w:tabs>
        <w:ind w:left="1440" w:hanging="360"/>
      </w:pPr>
      <w:rPr>
        <w:rFonts w:ascii="Times New Roman" w:eastAsia="Times New Roman" w:hAnsi="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709016AF"/>
    <w:multiLevelType w:val="hybridMultilevel"/>
    <w:tmpl w:val="4DC83F18"/>
    <w:lvl w:ilvl="0" w:tplc="0C36F8D6">
      <w:start w:val="1"/>
      <w:numFmt w:val="bullet"/>
      <w:lvlText w:val=""/>
      <w:lvlJc w:val="left"/>
      <w:pPr>
        <w:ind w:left="720" w:hanging="360"/>
      </w:pPr>
      <w:rPr>
        <w:rFonts w:asciiTheme="minorHAnsi" w:hAnsiTheme="minorHAnsi" w:cstheme="minorHAnsi"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6806CA1"/>
    <w:multiLevelType w:val="hybridMultilevel"/>
    <w:tmpl w:val="7854C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76AB4158"/>
    <w:multiLevelType w:val="hybridMultilevel"/>
    <w:tmpl w:val="0E9258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11"/>
  </w:num>
  <w:num w:numId="2">
    <w:abstractNumId w:val="11"/>
  </w:num>
  <w:num w:numId="3">
    <w:abstractNumId w:val="16"/>
  </w:num>
  <w:num w:numId="4">
    <w:abstractNumId w:val="3"/>
  </w:num>
  <w:num w:numId="5">
    <w:abstractNumId w:val="17"/>
  </w:num>
  <w:num w:numId="6">
    <w:abstractNumId w:val="18"/>
  </w:num>
  <w:num w:numId="7">
    <w:abstractNumId w:val="6"/>
  </w:num>
  <w:num w:numId="8">
    <w:abstractNumId w:val="15"/>
  </w:num>
  <w:num w:numId="9">
    <w:abstractNumId w:val="4"/>
  </w:num>
  <w:num w:numId="10">
    <w:abstractNumId w:val="1"/>
  </w:num>
  <w:num w:numId="11">
    <w:abstractNumId w:val="15"/>
  </w:num>
  <w:num w:numId="12">
    <w:abstractNumId w:val="6"/>
  </w:num>
  <w:num w:numId="13">
    <w:abstractNumId w:val="13"/>
  </w:num>
  <w:num w:numId="14">
    <w:abstractNumId w:val="15"/>
  </w:num>
  <w:num w:numId="15">
    <w:abstractNumId w:val="6"/>
  </w:num>
  <w:num w:numId="16">
    <w:abstractNumId w:val="5"/>
  </w:num>
  <w:num w:numId="17">
    <w:abstractNumId w:val="15"/>
  </w:num>
  <w:num w:numId="18">
    <w:abstractNumId w:val="6"/>
  </w:num>
  <w:num w:numId="19">
    <w:abstractNumId w:val="2"/>
  </w:num>
  <w:num w:numId="20">
    <w:abstractNumId w:val="14"/>
  </w:num>
  <w:num w:numId="21">
    <w:abstractNumId w:val="0"/>
  </w:num>
  <w:num w:numId="22">
    <w:abstractNumId w:val="9"/>
  </w:num>
  <w:num w:numId="2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7A"/>
    <w:rsid w:val="000746B0"/>
    <w:rsid w:val="00081DA8"/>
    <w:rsid w:val="000955B9"/>
    <w:rsid w:val="000A605D"/>
    <w:rsid w:val="000E4AAE"/>
    <w:rsid w:val="000F4C03"/>
    <w:rsid w:val="001610E2"/>
    <w:rsid w:val="001B43CB"/>
    <w:rsid w:val="00204618"/>
    <w:rsid w:val="00237C32"/>
    <w:rsid w:val="003422F0"/>
    <w:rsid w:val="003520AB"/>
    <w:rsid w:val="00363F01"/>
    <w:rsid w:val="003963AC"/>
    <w:rsid w:val="00472B89"/>
    <w:rsid w:val="00495A12"/>
    <w:rsid w:val="00524ED1"/>
    <w:rsid w:val="00552ADE"/>
    <w:rsid w:val="00573925"/>
    <w:rsid w:val="005966EF"/>
    <w:rsid w:val="005A3F32"/>
    <w:rsid w:val="005F73FC"/>
    <w:rsid w:val="00674C24"/>
    <w:rsid w:val="00777F82"/>
    <w:rsid w:val="007950BD"/>
    <w:rsid w:val="007D3008"/>
    <w:rsid w:val="00803B90"/>
    <w:rsid w:val="008206BB"/>
    <w:rsid w:val="0085290E"/>
    <w:rsid w:val="008C3E0E"/>
    <w:rsid w:val="008F2E22"/>
    <w:rsid w:val="00925F85"/>
    <w:rsid w:val="00967A91"/>
    <w:rsid w:val="009919DF"/>
    <w:rsid w:val="009E11BC"/>
    <w:rsid w:val="00A13A79"/>
    <w:rsid w:val="00A65291"/>
    <w:rsid w:val="00AB50E2"/>
    <w:rsid w:val="00B174AE"/>
    <w:rsid w:val="00B22CFE"/>
    <w:rsid w:val="00BC5EC3"/>
    <w:rsid w:val="00C2247A"/>
    <w:rsid w:val="00C613B3"/>
    <w:rsid w:val="00D22CF2"/>
    <w:rsid w:val="00D36A35"/>
    <w:rsid w:val="00DD1D02"/>
    <w:rsid w:val="00DF21D4"/>
    <w:rsid w:val="00E2750E"/>
    <w:rsid w:val="00EB508F"/>
    <w:rsid w:val="00EC665C"/>
    <w:rsid w:val="00EE05BF"/>
    <w:rsid w:val="00F45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9503">
      <w:bodyDiv w:val="1"/>
      <w:marLeft w:val="0"/>
      <w:marRight w:val="0"/>
      <w:marTop w:val="0"/>
      <w:marBottom w:val="0"/>
      <w:divBdr>
        <w:top w:val="none" w:sz="0" w:space="0" w:color="auto"/>
        <w:left w:val="none" w:sz="0" w:space="0" w:color="auto"/>
        <w:bottom w:val="none" w:sz="0" w:space="0" w:color="auto"/>
        <w:right w:val="none" w:sz="0" w:space="0" w:color="auto"/>
      </w:divBdr>
    </w:div>
    <w:div w:id="246694782">
      <w:bodyDiv w:val="1"/>
      <w:marLeft w:val="0"/>
      <w:marRight w:val="0"/>
      <w:marTop w:val="0"/>
      <w:marBottom w:val="0"/>
      <w:divBdr>
        <w:top w:val="none" w:sz="0" w:space="0" w:color="auto"/>
        <w:left w:val="none" w:sz="0" w:space="0" w:color="auto"/>
        <w:bottom w:val="none" w:sz="0" w:space="0" w:color="auto"/>
        <w:right w:val="none" w:sz="0" w:space="0" w:color="auto"/>
      </w:divBdr>
    </w:div>
    <w:div w:id="636833620">
      <w:bodyDiv w:val="1"/>
      <w:marLeft w:val="0"/>
      <w:marRight w:val="0"/>
      <w:marTop w:val="0"/>
      <w:marBottom w:val="0"/>
      <w:divBdr>
        <w:top w:val="none" w:sz="0" w:space="0" w:color="auto"/>
        <w:left w:val="none" w:sz="0" w:space="0" w:color="auto"/>
        <w:bottom w:val="none" w:sz="0" w:space="0" w:color="auto"/>
        <w:right w:val="none" w:sz="0" w:space="0" w:color="auto"/>
      </w:divBdr>
    </w:div>
    <w:div w:id="905140274">
      <w:bodyDiv w:val="1"/>
      <w:marLeft w:val="0"/>
      <w:marRight w:val="0"/>
      <w:marTop w:val="0"/>
      <w:marBottom w:val="0"/>
      <w:divBdr>
        <w:top w:val="none" w:sz="0" w:space="0" w:color="auto"/>
        <w:left w:val="none" w:sz="0" w:space="0" w:color="auto"/>
        <w:bottom w:val="none" w:sz="0" w:space="0" w:color="auto"/>
        <w:right w:val="none" w:sz="0" w:space="0" w:color="auto"/>
      </w:divBdr>
    </w:div>
    <w:div w:id="975064506">
      <w:bodyDiv w:val="1"/>
      <w:marLeft w:val="0"/>
      <w:marRight w:val="0"/>
      <w:marTop w:val="0"/>
      <w:marBottom w:val="0"/>
      <w:divBdr>
        <w:top w:val="none" w:sz="0" w:space="0" w:color="auto"/>
        <w:left w:val="none" w:sz="0" w:space="0" w:color="auto"/>
        <w:bottom w:val="none" w:sz="0" w:space="0" w:color="auto"/>
        <w:right w:val="none" w:sz="0" w:space="0" w:color="auto"/>
      </w:divBdr>
    </w:div>
    <w:div w:id="1376806763">
      <w:bodyDiv w:val="1"/>
      <w:marLeft w:val="0"/>
      <w:marRight w:val="0"/>
      <w:marTop w:val="0"/>
      <w:marBottom w:val="0"/>
      <w:divBdr>
        <w:top w:val="none" w:sz="0" w:space="0" w:color="auto"/>
        <w:left w:val="none" w:sz="0" w:space="0" w:color="auto"/>
        <w:bottom w:val="none" w:sz="0" w:space="0" w:color="auto"/>
        <w:right w:val="none" w:sz="0" w:space="0" w:color="auto"/>
      </w:divBdr>
    </w:div>
    <w:div w:id="1546061832">
      <w:bodyDiv w:val="1"/>
      <w:marLeft w:val="0"/>
      <w:marRight w:val="0"/>
      <w:marTop w:val="0"/>
      <w:marBottom w:val="0"/>
      <w:divBdr>
        <w:top w:val="none" w:sz="0" w:space="0" w:color="auto"/>
        <w:left w:val="none" w:sz="0" w:space="0" w:color="auto"/>
        <w:bottom w:val="none" w:sz="0" w:space="0" w:color="auto"/>
        <w:right w:val="none" w:sz="0" w:space="0" w:color="auto"/>
      </w:divBdr>
    </w:div>
    <w:div w:id="1656453746">
      <w:bodyDiv w:val="1"/>
      <w:marLeft w:val="0"/>
      <w:marRight w:val="0"/>
      <w:marTop w:val="0"/>
      <w:marBottom w:val="0"/>
      <w:divBdr>
        <w:top w:val="none" w:sz="0" w:space="0" w:color="auto"/>
        <w:left w:val="none" w:sz="0" w:space="0" w:color="auto"/>
        <w:bottom w:val="none" w:sz="0" w:space="0" w:color="auto"/>
        <w:right w:val="none" w:sz="0" w:space="0" w:color="auto"/>
      </w:divBdr>
    </w:div>
    <w:div w:id="197867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700</Words>
  <Characters>3992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Heidi_Breed</dc:creator>
  <cp:lastModifiedBy>Hunt Rosy</cp:lastModifiedBy>
  <cp:revision>2</cp:revision>
  <cp:lastPrinted>2014-01-07T09:15:00Z</cp:lastPrinted>
  <dcterms:created xsi:type="dcterms:W3CDTF">2016-09-22T13:37:00Z</dcterms:created>
  <dcterms:modified xsi:type="dcterms:W3CDTF">2016-09-22T13:37:00Z</dcterms:modified>
</cp:coreProperties>
</file>