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7FF" w:rsidRDefault="00EC67FF" w:rsidP="00EC67FF">
      <w:pPr>
        <w:tabs>
          <w:tab w:val="center" w:pos="5040"/>
          <w:tab w:val="right" w:pos="9900"/>
        </w:tabs>
      </w:pPr>
      <w:r>
        <w:t xml:space="preserve"> </w:t>
      </w:r>
      <w:r>
        <w:tab/>
      </w:r>
      <w:r>
        <w:tab/>
      </w:r>
      <w:bookmarkStart w:id="0" w:name="_GoBack"/>
      <w:bookmarkEnd w:id="0"/>
    </w:p>
    <w:p w:rsidR="00EC67FF" w:rsidRDefault="00EC67FF" w:rsidP="00EC67FF">
      <w:pPr>
        <w:jc w:val="center"/>
        <w:rPr>
          <w:rFonts w:cs="Arial"/>
          <w:b/>
          <w:bCs/>
          <w:sz w:val="28"/>
          <w:szCs w:val="28"/>
        </w:rPr>
      </w:pPr>
    </w:p>
    <w:p w:rsidR="00EC67FF" w:rsidRPr="002C3834" w:rsidRDefault="00EC67FF" w:rsidP="00EC67FF">
      <w:pPr>
        <w:jc w:val="center"/>
        <w:rPr>
          <w:rFonts w:cs="Arial"/>
          <w:b/>
          <w:bCs/>
          <w:sz w:val="28"/>
          <w:szCs w:val="28"/>
        </w:rPr>
      </w:pPr>
      <w:r>
        <w:rPr>
          <w:rFonts w:cs="Arial"/>
          <w:b/>
          <w:bCs/>
          <w:sz w:val="28"/>
          <w:szCs w:val="28"/>
        </w:rPr>
        <w:t xml:space="preserve">East Anglia </w:t>
      </w:r>
      <w:r w:rsidRPr="002C3834">
        <w:rPr>
          <w:rFonts w:cs="Arial"/>
          <w:b/>
          <w:bCs/>
          <w:sz w:val="28"/>
          <w:szCs w:val="28"/>
        </w:rPr>
        <w:t>Foundation School</w:t>
      </w:r>
    </w:p>
    <w:p w:rsidR="00EC67FF" w:rsidRDefault="00EC67FF" w:rsidP="00EC67FF">
      <w:pPr>
        <w:jc w:val="center"/>
        <w:rPr>
          <w:rFonts w:cs="Arial"/>
          <w:b/>
          <w:bCs/>
          <w:sz w:val="28"/>
          <w:szCs w:val="28"/>
        </w:rPr>
      </w:pPr>
      <w:r>
        <w:rPr>
          <w:rFonts w:cs="Arial"/>
          <w:b/>
          <w:bCs/>
          <w:sz w:val="28"/>
          <w:szCs w:val="28"/>
        </w:rPr>
        <w:t>Individual Placement</w:t>
      </w:r>
      <w:r w:rsidRPr="002C3834">
        <w:rPr>
          <w:rFonts w:cs="Arial"/>
          <w:b/>
          <w:bCs/>
          <w:sz w:val="28"/>
          <w:szCs w:val="28"/>
        </w:rPr>
        <w:t xml:space="preserve"> Description </w:t>
      </w:r>
    </w:p>
    <w:p w:rsidR="00EC67FF" w:rsidRDefault="00EC67FF" w:rsidP="00EC67FF">
      <w:pPr>
        <w:jc w:val="center"/>
        <w:rPr>
          <w:rFonts w:cs="Arial"/>
          <w:b/>
          <w:bCs/>
          <w:sz w:val="28"/>
          <w:szCs w:val="28"/>
        </w:rPr>
      </w:pPr>
    </w:p>
    <w:p w:rsidR="00EC67FF" w:rsidRPr="002C3834" w:rsidRDefault="00EC67FF" w:rsidP="00EC67FF">
      <w:pPr>
        <w:jc w:val="center"/>
        <w:rPr>
          <w:rFonts w:cs="Arial"/>
          <w:b/>
          <w:bCs/>
          <w:sz w:val="28"/>
          <w:szCs w:val="28"/>
        </w:rPr>
      </w:pPr>
      <w:r>
        <w:rPr>
          <w:rFonts w:cs="Arial"/>
          <w:b/>
          <w:bCs/>
          <w:sz w:val="28"/>
          <w:szCs w:val="28"/>
        </w:rPr>
        <w:t>Cambridge University Hospitals NHS Foundation Trust</w:t>
      </w:r>
    </w:p>
    <w:p w:rsidR="00EC67FF" w:rsidRDefault="00EC67FF" w:rsidP="00EC67FF">
      <w:pPr>
        <w:rPr>
          <w:rFonts w:cs="Arial"/>
          <w:b/>
          <w:bCs/>
          <w:sz w:val="22"/>
          <w:szCs w:val="22"/>
        </w:rPr>
      </w:pPr>
    </w:p>
    <w:p w:rsidR="00EC67FF" w:rsidRPr="0043462B" w:rsidRDefault="00EC67FF" w:rsidP="00EC67FF">
      <w:pPr>
        <w:rPr>
          <w:rFonts w:cs="Arial"/>
          <w:sz w:val="22"/>
          <w:szCs w:val="22"/>
        </w:rPr>
      </w:pPr>
      <w:proofErr w:type="gramStart"/>
      <w:r w:rsidRPr="0043462B">
        <w:rPr>
          <w:rFonts w:cs="Arial"/>
          <w:sz w:val="22"/>
          <w:szCs w:val="22"/>
        </w:rPr>
        <w:t>All information to be completed by</w:t>
      </w:r>
      <w:r>
        <w:rPr>
          <w:rFonts w:cs="Arial"/>
          <w:sz w:val="22"/>
          <w:szCs w:val="22"/>
        </w:rPr>
        <w:t xml:space="preserve"> the</w:t>
      </w:r>
      <w:r w:rsidRPr="0043462B">
        <w:rPr>
          <w:rFonts w:cs="Arial"/>
          <w:sz w:val="22"/>
          <w:szCs w:val="22"/>
        </w:rPr>
        <w:t xml:space="preserve"> Foundation School.</w:t>
      </w:r>
      <w:proofErr w:type="gramEnd"/>
    </w:p>
    <w:p w:rsidR="00EC67FF" w:rsidRDefault="00EC67FF" w:rsidP="00EC67FF">
      <w:pPr>
        <w:rPr>
          <w:rFonts w:cs="Arial"/>
          <w:b/>
          <w:bCs/>
          <w:sz w:val="22"/>
          <w:szCs w:val="22"/>
        </w:rPr>
      </w:pPr>
    </w:p>
    <w:tbl>
      <w:tblPr>
        <w:tblW w:w="8028" w:type="dxa"/>
        <w:tblInd w:w="-106" w:type="dxa"/>
        <w:tblLook w:val="01E0" w:firstRow="1" w:lastRow="1" w:firstColumn="1" w:lastColumn="1" w:noHBand="0" w:noVBand="0"/>
      </w:tblPr>
      <w:tblGrid>
        <w:gridCol w:w="3851"/>
        <w:gridCol w:w="4177"/>
      </w:tblGrid>
      <w:tr w:rsidR="00EC67FF" w:rsidRPr="004F4EE0" w:rsidTr="004B6555">
        <w:trPr>
          <w:trHeight w:val="144"/>
        </w:trPr>
        <w:tc>
          <w:tcPr>
            <w:tcW w:w="3851" w:type="dxa"/>
          </w:tcPr>
          <w:p w:rsidR="00EC67FF" w:rsidRPr="004F4EE0" w:rsidRDefault="00EC67FF" w:rsidP="004B6555">
            <w:pPr>
              <w:jc w:val="both"/>
              <w:rPr>
                <w:rFonts w:cs="Arial"/>
                <w:b/>
                <w:bCs/>
              </w:rPr>
            </w:pPr>
            <w:r>
              <w:rPr>
                <w:rFonts w:cs="Arial"/>
                <w:b/>
                <w:bCs/>
                <w:sz w:val="22"/>
                <w:szCs w:val="22"/>
              </w:rPr>
              <w:t>Placement</w:t>
            </w:r>
          </w:p>
        </w:tc>
        <w:tc>
          <w:tcPr>
            <w:tcW w:w="4177" w:type="dxa"/>
          </w:tcPr>
          <w:p w:rsidR="00EC67FF" w:rsidRPr="00F909C5" w:rsidRDefault="00EC67FF" w:rsidP="004B6555">
            <w:pPr>
              <w:jc w:val="both"/>
              <w:rPr>
                <w:rFonts w:cs="Arial"/>
              </w:rPr>
            </w:pPr>
            <w:r>
              <w:rPr>
                <w:rFonts w:cs="Arial"/>
              </w:rPr>
              <w:t>FY2</w:t>
            </w:r>
          </w:p>
          <w:p w:rsidR="00EC67FF" w:rsidRPr="00F909C5" w:rsidRDefault="00EC67FF" w:rsidP="004B6555">
            <w:pPr>
              <w:jc w:val="both"/>
              <w:rPr>
                <w:rFonts w:cs="Arial"/>
              </w:rPr>
            </w:pPr>
          </w:p>
        </w:tc>
      </w:tr>
      <w:tr w:rsidR="00EC67FF" w:rsidRPr="004F4EE0" w:rsidTr="004B6555">
        <w:trPr>
          <w:trHeight w:val="144"/>
        </w:trPr>
        <w:tc>
          <w:tcPr>
            <w:tcW w:w="3851" w:type="dxa"/>
          </w:tcPr>
          <w:p w:rsidR="00EC67FF" w:rsidRDefault="00EC67FF" w:rsidP="004B6555">
            <w:pPr>
              <w:rPr>
                <w:rFonts w:cs="Arial"/>
                <w:b/>
                <w:bCs/>
              </w:rPr>
            </w:pPr>
            <w:r>
              <w:rPr>
                <w:rFonts w:cs="Arial"/>
                <w:b/>
                <w:bCs/>
                <w:sz w:val="22"/>
                <w:szCs w:val="22"/>
              </w:rPr>
              <w:t>The department</w:t>
            </w:r>
          </w:p>
        </w:tc>
        <w:tc>
          <w:tcPr>
            <w:tcW w:w="4177" w:type="dxa"/>
          </w:tcPr>
          <w:p w:rsidR="00EC67FF" w:rsidRDefault="00EC67FF" w:rsidP="004B6555">
            <w:pPr>
              <w:jc w:val="both"/>
              <w:rPr>
                <w:rFonts w:cs="Arial"/>
              </w:rPr>
            </w:pPr>
            <w:r>
              <w:rPr>
                <w:rFonts w:cs="Arial"/>
                <w:sz w:val="22"/>
                <w:szCs w:val="22"/>
              </w:rPr>
              <w:t xml:space="preserve">The Urology Department provides a service for adult Urology to part of East Anglia in addition to fulfilling its District Hospital functions.  The Urology ward and theatres moved to the new </w:t>
            </w:r>
            <w:proofErr w:type="spellStart"/>
            <w:r>
              <w:rPr>
                <w:rFonts w:cs="Arial"/>
                <w:sz w:val="22"/>
                <w:szCs w:val="22"/>
              </w:rPr>
              <w:t>Addenbrooke’s</w:t>
            </w:r>
            <w:proofErr w:type="spellEnd"/>
            <w:r>
              <w:rPr>
                <w:rFonts w:cs="Arial"/>
                <w:sz w:val="22"/>
                <w:szCs w:val="22"/>
              </w:rPr>
              <w:t xml:space="preserve"> treatment Centre in 2007 which offers a very attractive environment for patients and staff. Two theatres are used for in-patient surgery, supplemented by a dedicated day unit at Hinchingbrooke Hospital where the department currently has three lists per week. The Urology Clinic provides the facilities for outpatient consultations, and for specialist clinics, including prostatic biopsies, flexible cystoscopy, lithotripsy, prostate diagnostic sessions, </w:t>
            </w:r>
            <w:proofErr w:type="spellStart"/>
            <w:r>
              <w:rPr>
                <w:rFonts w:cs="Arial"/>
                <w:sz w:val="22"/>
                <w:szCs w:val="22"/>
              </w:rPr>
              <w:t>urodynamics</w:t>
            </w:r>
            <w:proofErr w:type="spellEnd"/>
            <w:r>
              <w:rPr>
                <w:rFonts w:cs="Arial"/>
                <w:sz w:val="22"/>
                <w:szCs w:val="22"/>
              </w:rPr>
              <w:t xml:space="preserve">, </w:t>
            </w:r>
            <w:proofErr w:type="spellStart"/>
            <w:r>
              <w:rPr>
                <w:rFonts w:cs="Arial"/>
                <w:sz w:val="22"/>
                <w:szCs w:val="22"/>
              </w:rPr>
              <w:t>intravesical</w:t>
            </w:r>
            <w:proofErr w:type="spellEnd"/>
            <w:r>
              <w:rPr>
                <w:rFonts w:cs="Arial"/>
                <w:sz w:val="22"/>
                <w:szCs w:val="22"/>
              </w:rPr>
              <w:t xml:space="preserve"> chemotherapy and erectile dysfunction clinics. The Department merged with Urology at Hinchingbrooke Hospital in Huntingdon in April 2004, so that the service at Hinchingbrooke is provided medically very largely by the 5 NHS consultants who do a day-case list and a clinic one day each week at Hinchingbrooke. This extends the local catchment population for the combined Department from around 410,000 to around 570,000.</w:t>
            </w:r>
          </w:p>
          <w:p w:rsidR="00EC67FF" w:rsidRDefault="00EC67FF" w:rsidP="004B6555">
            <w:pPr>
              <w:jc w:val="both"/>
              <w:rPr>
                <w:rFonts w:cs="Arial"/>
              </w:rPr>
            </w:pPr>
          </w:p>
          <w:p w:rsidR="00EC67FF" w:rsidRDefault="00EC67FF" w:rsidP="004B6555">
            <w:pPr>
              <w:jc w:val="both"/>
              <w:rPr>
                <w:rFonts w:cs="Arial"/>
              </w:rPr>
            </w:pPr>
            <w:r>
              <w:rPr>
                <w:rFonts w:cs="Arial"/>
                <w:sz w:val="22"/>
                <w:szCs w:val="22"/>
              </w:rPr>
              <w:t xml:space="preserve">The Department has been designated by the West Anglian Cancer Network (population around 1.5 million) as its Cancer Centre for Urology. All radical prostatectomy, radical cystectomy and complex renal cancer surgery from the network is done at </w:t>
            </w:r>
            <w:proofErr w:type="spellStart"/>
            <w:r>
              <w:rPr>
                <w:rFonts w:cs="Arial"/>
                <w:sz w:val="22"/>
                <w:szCs w:val="22"/>
              </w:rPr>
              <w:t>Addenbrooke’s</w:t>
            </w:r>
            <w:proofErr w:type="spellEnd"/>
            <w:r>
              <w:rPr>
                <w:rFonts w:cs="Arial"/>
                <w:sz w:val="22"/>
                <w:szCs w:val="22"/>
              </w:rPr>
              <w:t xml:space="preserve">. Da Vinci laparoscopic robotic prostatectomy and Brachytherapy which is jointly delivered by Urology and Oncology are </w:t>
            </w:r>
            <w:r>
              <w:rPr>
                <w:rFonts w:cs="Arial"/>
                <w:sz w:val="22"/>
                <w:szCs w:val="22"/>
              </w:rPr>
              <w:lastRenderedPageBreak/>
              <w:t xml:space="preserve">both offered as treatment options for localised prostate cancer. The Department has extensive experience with bladder substitution following radical cystectomy, and with nephron-sparing surgery for renal cancer. </w:t>
            </w:r>
            <w:proofErr w:type="spellStart"/>
            <w:r>
              <w:rPr>
                <w:rFonts w:cs="Arial"/>
                <w:sz w:val="22"/>
                <w:szCs w:val="22"/>
              </w:rPr>
              <w:t>Addenbrooke’s</w:t>
            </w:r>
            <w:proofErr w:type="spellEnd"/>
            <w:r>
              <w:rPr>
                <w:rFonts w:cs="Arial"/>
                <w:sz w:val="22"/>
                <w:szCs w:val="22"/>
              </w:rPr>
              <w:t xml:space="preserve"> has a cryotherapy programme for renal cancer. Retroperitoneal lymph node dissection for advanced testis cancer is carried out for East Anglia at </w:t>
            </w:r>
            <w:proofErr w:type="spellStart"/>
            <w:r>
              <w:rPr>
                <w:rFonts w:cs="Arial"/>
                <w:sz w:val="22"/>
                <w:szCs w:val="22"/>
              </w:rPr>
              <w:t>Addenbrooke’s</w:t>
            </w:r>
            <w:proofErr w:type="spellEnd"/>
            <w:r>
              <w:rPr>
                <w:rFonts w:cs="Arial"/>
                <w:sz w:val="22"/>
                <w:szCs w:val="22"/>
              </w:rPr>
              <w:t>. The hub of cancer management is the weekly multidisciplinary team meeting, which currently video links with Bedford, Bury St Edmunds, Hinchingbrooke, and Peterborough.</w:t>
            </w:r>
          </w:p>
          <w:p w:rsidR="00EC67FF" w:rsidRDefault="00EC67FF" w:rsidP="004B6555">
            <w:pPr>
              <w:jc w:val="both"/>
              <w:rPr>
                <w:rFonts w:cs="Arial"/>
              </w:rPr>
            </w:pPr>
          </w:p>
          <w:p w:rsidR="00EC67FF" w:rsidRDefault="00EC67FF" w:rsidP="004B6555">
            <w:pPr>
              <w:jc w:val="both"/>
              <w:rPr>
                <w:rFonts w:cs="Arial"/>
              </w:rPr>
            </w:pPr>
            <w:r>
              <w:rPr>
                <w:rFonts w:cs="Arial"/>
                <w:sz w:val="22"/>
                <w:szCs w:val="22"/>
              </w:rPr>
              <w:t xml:space="preserve">Stone, </w:t>
            </w:r>
            <w:proofErr w:type="spellStart"/>
            <w:r>
              <w:rPr>
                <w:rFonts w:cs="Arial"/>
                <w:sz w:val="22"/>
                <w:szCs w:val="22"/>
              </w:rPr>
              <w:t>endourology</w:t>
            </w:r>
            <w:proofErr w:type="spellEnd"/>
            <w:r>
              <w:rPr>
                <w:rFonts w:cs="Arial"/>
                <w:sz w:val="22"/>
                <w:szCs w:val="22"/>
              </w:rPr>
              <w:t xml:space="preserve"> and laparoscopy services include percutaneous stone surgery, flexible </w:t>
            </w:r>
            <w:proofErr w:type="spellStart"/>
            <w:r>
              <w:rPr>
                <w:rFonts w:cs="Arial"/>
                <w:sz w:val="22"/>
                <w:szCs w:val="22"/>
              </w:rPr>
              <w:t>ureteroscopy</w:t>
            </w:r>
            <w:proofErr w:type="spellEnd"/>
            <w:r>
              <w:rPr>
                <w:rFonts w:cs="Arial"/>
                <w:sz w:val="22"/>
                <w:szCs w:val="22"/>
              </w:rPr>
              <w:t xml:space="preserve">, ESWL with </w:t>
            </w:r>
            <w:proofErr w:type="spellStart"/>
            <w:r>
              <w:rPr>
                <w:rFonts w:cs="Arial"/>
                <w:sz w:val="22"/>
                <w:szCs w:val="22"/>
              </w:rPr>
              <w:t>Storz</w:t>
            </w:r>
            <w:proofErr w:type="spellEnd"/>
            <w:r>
              <w:rPr>
                <w:rFonts w:cs="Arial"/>
                <w:sz w:val="22"/>
                <w:szCs w:val="22"/>
              </w:rPr>
              <w:t xml:space="preserve"> lithotripter housed in the Urology clinic, and laparoscopic surgery for renal cancer, upper tract TCC, PUJ obstruction, and non-functioning kidneys. The Department at both </w:t>
            </w:r>
            <w:proofErr w:type="spellStart"/>
            <w:r>
              <w:rPr>
                <w:rFonts w:cs="Arial"/>
                <w:sz w:val="22"/>
                <w:szCs w:val="22"/>
              </w:rPr>
              <w:t>Addenbrooke’s</w:t>
            </w:r>
            <w:proofErr w:type="spellEnd"/>
            <w:r>
              <w:rPr>
                <w:rFonts w:cs="Arial"/>
                <w:sz w:val="22"/>
                <w:szCs w:val="22"/>
              </w:rPr>
              <w:t xml:space="preserve"> and Hinchingbrooke has Holmium lasers, allowing laser prostatectomy, laser stone ablation and incision of bladder necks and urethral strictures. </w:t>
            </w:r>
            <w:proofErr w:type="spellStart"/>
            <w:r>
              <w:rPr>
                <w:rFonts w:cs="Arial"/>
                <w:sz w:val="22"/>
                <w:szCs w:val="22"/>
              </w:rPr>
              <w:t>Addenbrooke’s</w:t>
            </w:r>
            <w:proofErr w:type="spellEnd"/>
            <w:r>
              <w:rPr>
                <w:rFonts w:cs="Arial"/>
                <w:sz w:val="22"/>
                <w:szCs w:val="22"/>
              </w:rPr>
              <w:t xml:space="preserve"> is recognised as a centre of excellence for Holmium Laser Enucleation of the Prostate. A stone multidisciplinary team meeting co-ordinates the management of this </w:t>
            </w:r>
            <w:proofErr w:type="gramStart"/>
            <w:r>
              <w:rPr>
                <w:rFonts w:cs="Arial"/>
                <w:sz w:val="22"/>
                <w:szCs w:val="22"/>
              </w:rPr>
              <w:t>service,</w:t>
            </w:r>
            <w:proofErr w:type="gramEnd"/>
            <w:r>
              <w:rPr>
                <w:rFonts w:cs="Arial"/>
                <w:sz w:val="22"/>
                <w:szCs w:val="22"/>
              </w:rPr>
              <w:t xml:space="preserve"> and a Joint metabolic stone clinic exists, run with Nephrology.</w:t>
            </w:r>
          </w:p>
          <w:p w:rsidR="00EC67FF" w:rsidRDefault="00EC67FF" w:rsidP="004B6555">
            <w:pPr>
              <w:jc w:val="both"/>
              <w:rPr>
                <w:rFonts w:cs="Arial"/>
              </w:rPr>
            </w:pPr>
          </w:p>
          <w:p w:rsidR="00EC67FF" w:rsidRDefault="00EC67FF" w:rsidP="004B6555">
            <w:pPr>
              <w:jc w:val="both"/>
              <w:rPr>
                <w:rFonts w:cs="Arial"/>
              </w:rPr>
            </w:pPr>
            <w:r>
              <w:rPr>
                <w:rFonts w:cs="Arial"/>
                <w:sz w:val="22"/>
                <w:szCs w:val="22"/>
              </w:rPr>
              <w:t xml:space="preserve">Continence services are provided in a multidisciplinary manner by joint working with </w:t>
            </w:r>
            <w:proofErr w:type="spellStart"/>
            <w:r>
              <w:rPr>
                <w:rFonts w:cs="Arial"/>
                <w:sz w:val="22"/>
                <w:szCs w:val="22"/>
              </w:rPr>
              <w:t>Uro</w:t>
            </w:r>
            <w:proofErr w:type="spellEnd"/>
            <w:r>
              <w:rPr>
                <w:rFonts w:cs="Arial"/>
                <w:sz w:val="22"/>
                <w:szCs w:val="22"/>
              </w:rPr>
              <w:t xml:space="preserve">-Gynaecology, Urology Specialist nurses and a specialist pelvic floor physiotherapist. There is a large Neuro-Urology practice that comes from the Regional Neurosciences Centre, based at </w:t>
            </w:r>
            <w:proofErr w:type="spellStart"/>
            <w:r>
              <w:rPr>
                <w:rFonts w:cs="Arial"/>
                <w:sz w:val="22"/>
                <w:szCs w:val="22"/>
              </w:rPr>
              <w:t>Addenbrooke’s</w:t>
            </w:r>
            <w:proofErr w:type="spellEnd"/>
            <w:r>
              <w:rPr>
                <w:rFonts w:cs="Arial"/>
                <w:sz w:val="22"/>
                <w:szCs w:val="22"/>
              </w:rPr>
              <w:t xml:space="preserve">, and </w:t>
            </w:r>
            <w:proofErr w:type="spellStart"/>
            <w:r>
              <w:rPr>
                <w:rFonts w:cs="Arial"/>
                <w:sz w:val="22"/>
                <w:szCs w:val="22"/>
              </w:rPr>
              <w:t>Addenbrooke’s</w:t>
            </w:r>
            <w:proofErr w:type="spellEnd"/>
            <w:r>
              <w:rPr>
                <w:rFonts w:cs="Arial"/>
                <w:sz w:val="22"/>
                <w:szCs w:val="22"/>
              </w:rPr>
              <w:t xml:space="preserve"> Rehabilitation Unit. As well as surgery for stress urinary incontinence, bladder augmentation and </w:t>
            </w:r>
            <w:proofErr w:type="spellStart"/>
            <w:r>
              <w:rPr>
                <w:rFonts w:cs="Arial"/>
                <w:sz w:val="22"/>
                <w:szCs w:val="22"/>
              </w:rPr>
              <w:t>catheterisable</w:t>
            </w:r>
            <w:proofErr w:type="spellEnd"/>
            <w:r>
              <w:rPr>
                <w:rFonts w:cs="Arial"/>
                <w:sz w:val="22"/>
                <w:szCs w:val="22"/>
              </w:rPr>
              <w:t xml:space="preserve"> urinary stoma surgery is done. There is a Joint Urology/</w:t>
            </w:r>
            <w:proofErr w:type="spellStart"/>
            <w:r>
              <w:rPr>
                <w:rFonts w:cs="Arial"/>
                <w:sz w:val="22"/>
                <w:szCs w:val="22"/>
              </w:rPr>
              <w:t>Uro</w:t>
            </w:r>
            <w:proofErr w:type="spellEnd"/>
            <w:r>
              <w:rPr>
                <w:rFonts w:cs="Arial"/>
                <w:sz w:val="22"/>
                <w:szCs w:val="22"/>
              </w:rPr>
              <w:t>-Gynaecology Continence clinic.</w:t>
            </w:r>
          </w:p>
          <w:p w:rsidR="00EC67FF" w:rsidRPr="00F909C5" w:rsidRDefault="00EC67FF" w:rsidP="004B6555">
            <w:pPr>
              <w:rPr>
                <w:rFonts w:cs="Arial"/>
              </w:rPr>
            </w:pPr>
          </w:p>
          <w:p w:rsidR="00EC67FF" w:rsidRPr="00F909C5" w:rsidRDefault="00EC67FF" w:rsidP="004B6555">
            <w:pPr>
              <w:rPr>
                <w:rFonts w:cs="Arial"/>
              </w:rPr>
            </w:pPr>
          </w:p>
        </w:tc>
      </w:tr>
      <w:tr w:rsidR="00EC67FF" w:rsidRPr="004F4EE0" w:rsidTr="004B6555">
        <w:trPr>
          <w:trHeight w:val="144"/>
        </w:trPr>
        <w:tc>
          <w:tcPr>
            <w:tcW w:w="3851" w:type="dxa"/>
          </w:tcPr>
          <w:p w:rsidR="00EC67FF" w:rsidRPr="00047073" w:rsidRDefault="00EC67FF" w:rsidP="004B6555">
            <w:pPr>
              <w:rPr>
                <w:rFonts w:cs="Arial"/>
                <w:b/>
                <w:bCs/>
              </w:rPr>
            </w:pPr>
            <w:r>
              <w:rPr>
                <w:rFonts w:cs="Arial"/>
                <w:b/>
                <w:bCs/>
                <w:sz w:val="22"/>
                <w:szCs w:val="22"/>
              </w:rPr>
              <w:lastRenderedPageBreak/>
              <w:t>The type of work to expect and learning opportunities</w:t>
            </w:r>
          </w:p>
        </w:tc>
        <w:tc>
          <w:tcPr>
            <w:tcW w:w="4177" w:type="dxa"/>
          </w:tcPr>
          <w:p w:rsidR="00EC67FF" w:rsidRPr="00F909C5" w:rsidRDefault="00EC67FF" w:rsidP="004B6555">
            <w:pPr>
              <w:rPr>
                <w:rFonts w:cs="Arial"/>
              </w:rPr>
            </w:pPr>
            <w:r>
              <w:rPr>
                <w:rFonts w:cs="Arial"/>
              </w:rPr>
              <w:t xml:space="preserve">Emergency and elective care of Urology patients. </w:t>
            </w:r>
          </w:p>
          <w:p w:rsidR="00EC67FF" w:rsidRPr="00F909C5" w:rsidRDefault="00EC67FF" w:rsidP="004B6555">
            <w:pPr>
              <w:rPr>
                <w:rFonts w:cs="Arial"/>
              </w:rPr>
            </w:pPr>
          </w:p>
        </w:tc>
      </w:tr>
      <w:tr w:rsidR="00EC67FF" w:rsidRPr="004F4EE0" w:rsidTr="004B6555">
        <w:trPr>
          <w:trHeight w:val="144"/>
        </w:trPr>
        <w:tc>
          <w:tcPr>
            <w:tcW w:w="3851" w:type="dxa"/>
          </w:tcPr>
          <w:p w:rsidR="00EC67FF" w:rsidRPr="004F4EE0" w:rsidRDefault="00EC67FF" w:rsidP="004B6555">
            <w:pPr>
              <w:jc w:val="both"/>
              <w:rPr>
                <w:rFonts w:cs="Arial"/>
                <w:b/>
                <w:bCs/>
              </w:rPr>
            </w:pPr>
            <w:r>
              <w:rPr>
                <w:rFonts w:cs="Arial"/>
                <w:b/>
                <w:bCs/>
                <w:sz w:val="22"/>
                <w:szCs w:val="22"/>
              </w:rPr>
              <w:t>Where the placement is based</w:t>
            </w:r>
          </w:p>
        </w:tc>
        <w:tc>
          <w:tcPr>
            <w:tcW w:w="4177" w:type="dxa"/>
          </w:tcPr>
          <w:p w:rsidR="00EC67FF" w:rsidRPr="00F909C5" w:rsidRDefault="00EC67FF" w:rsidP="004B6555">
            <w:pPr>
              <w:jc w:val="both"/>
              <w:rPr>
                <w:rFonts w:cs="Arial"/>
              </w:rPr>
            </w:pPr>
            <w:r>
              <w:rPr>
                <w:rFonts w:cs="Arial"/>
              </w:rPr>
              <w:t>Addenbrookes Hospital</w:t>
            </w:r>
          </w:p>
          <w:p w:rsidR="00EC67FF" w:rsidRPr="00F909C5" w:rsidRDefault="00EC67FF" w:rsidP="004B6555">
            <w:pPr>
              <w:jc w:val="both"/>
              <w:rPr>
                <w:rFonts w:cs="Arial"/>
              </w:rPr>
            </w:pPr>
          </w:p>
        </w:tc>
      </w:tr>
      <w:tr w:rsidR="00EC67FF" w:rsidRPr="004F4EE0" w:rsidTr="004B6555">
        <w:trPr>
          <w:trHeight w:val="144"/>
        </w:trPr>
        <w:tc>
          <w:tcPr>
            <w:tcW w:w="3851" w:type="dxa"/>
          </w:tcPr>
          <w:p w:rsidR="00EC67FF" w:rsidRDefault="00EC67FF" w:rsidP="004B6555">
            <w:pPr>
              <w:jc w:val="both"/>
              <w:rPr>
                <w:rFonts w:cs="Arial"/>
                <w:b/>
                <w:bCs/>
              </w:rPr>
            </w:pPr>
            <w:r>
              <w:rPr>
                <w:rFonts w:cs="Arial"/>
                <w:b/>
                <w:bCs/>
                <w:sz w:val="22"/>
                <w:szCs w:val="22"/>
              </w:rPr>
              <w:t>Clinical Supervisor(s) for the placement</w:t>
            </w:r>
          </w:p>
        </w:tc>
        <w:tc>
          <w:tcPr>
            <w:tcW w:w="4177" w:type="dxa"/>
          </w:tcPr>
          <w:p w:rsidR="00EC67FF" w:rsidRPr="00F909C5" w:rsidRDefault="00EC67FF" w:rsidP="004B6555">
            <w:pPr>
              <w:jc w:val="both"/>
              <w:rPr>
                <w:rFonts w:cs="Arial"/>
              </w:rPr>
            </w:pPr>
            <w:r>
              <w:rPr>
                <w:rFonts w:cs="Arial"/>
                <w:sz w:val="22"/>
                <w:szCs w:val="22"/>
              </w:rPr>
              <w:t>Urology Consultant (variable)</w:t>
            </w:r>
          </w:p>
          <w:p w:rsidR="00EC67FF" w:rsidRPr="00F909C5" w:rsidRDefault="00EC67FF" w:rsidP="004B6555">
            <w:pPr>
              <w:jc w:val="both"/>
              <w:rPr>
                <w:rFonts w:cs="Arial"/>
              </w:rPr>
            </w:pPr>
          </w:p>
        </w:tc>
      </w:tr>
      <w:tr w:rsidR="00EC67FF" w:rsidRPr="004F4EE0" w:rsidTr="004B6555">
        <w:trPr>
          <w:trHeight w:val="144"/>
        </w:trPr>
        <w:tc>
          <w:tcPr>
            <w:tcW w:w="3851" w:type="dxa"/>
          </w:tcPr>
          <w:p w:rsidR="00EC67FF" w:rsidRDefault="00EC67FF" w:rsidP="004B6555">
            <w:pPr>
              <w:rPr>
                <w:rFonts w:cs="Arial"/>
                <w:b/>
                <w:bCs/>
              </w:rPr>
            </w:pPr>
            <w:r>
              <w:rPr>
                <w:rFonts w:cs="Arial"/>
                <w:b/>
                <w:bCs/>
                <w:sz w:val="22"/>
                <w:szCs w:val="22"/>
              </w:rPr>
              <w:t>Main duties of the placement</w:t>
            </w:r>
          </w:p>
        </w:tc>
        <w:tc>
          <w:tcPr>
            <w:tcW w:w="4177" w:type="dxa"/>
          </w:tcPr>
          <w:p w:rsidR="00EC67FF" w:rsidRPr="000F081F" w:rsidRDefault="00EC67FF" w:rsidP="004B6555">
            <w:pPr>
              <w:jc w:val="both"/>
            </w:pPr>
            <w:r w:rsidRPr="000F081F">
              <w:rPr>
                <w:rFonts w:cs="Arial"/>
                <w:sz w:val="22"/>
                <w:szCs w:val="22"/>
              </w:rPr>
              <w:t xml:space="preserve">The </w:t>
            </w:r>
            <w:proofErr w:type="spellStart"/>
            <w:r w:rsidRPr="000F081F">
              <w:rPr>
                <w:rFonts w:cs="Arial"/>
                <w:sz w:val="22"/>
                <w:szCs w:val="22"/>
              </w:rPr>
              <w:t>postholder</w:t>
            </w:r>
            <w:proofErr w:type="spellEnd"/>
            <w:r w:rsidRPr="000F081F">
              <w:rPr>
                <w:rFonts w:cs="Arial"/>
                <w:sz w:val="22"/>
                <w:szCs w:val="22"/>
              </w:rPr>
              <w:t xml:space="preserve"> will be based in the Urology department. There are no commitments outside of Urology.</w:t>
            </w:r>
          </w:p>
          <w:p w:rsidR="00EC67FF" w:rsidRPr="000F081F" w:rsidRDefault="00EC67FF" w:rsidP="004B6555">
            <w:pPr>
              <w:jc w:val="both"/>
            </w:pPr>
            <w:r w:rsidRPr="000F081F">
              <w:rPr>
                <w:rFonts w:cs="Arial"/>
                <w:sz w:val="22"/>
                <w:szCs w:val="22"/>
              </w:rPr>
              <w:t> </w:t>
            </w:r>
          </w:p>
          <w:p w:rsidR="00EC67FF" w:rsidRPr="000F081F" w:rsidRDefault="00EC67FF" w:rsidP="004B6555">
            <w:r w:rsidRPr="000F081F">
              <w:rPr>
                <w:rFonts w:cs="Arial"/>
                <w:sz w:val="22"/>
                <w:szCs w:val="22"/>
              </w:rPr>
              <w:t xml:space="preserve">The service requirement of this post is participation on the urology junior middle grade rota (1 in 7).  This rota comprises </w:t>
            </w:r>
            <w:r w:rsidRPr="000F081F">
              <w:rPr>
                <w:rFonts w:cs="Arial"/>
                <w:snapToGrid w:val="0"/>
                <w:sz w:val="22"/>
                <w:szCs w:val="22"/>
              </w:rPr>
              <w:t xml:space="preserve">running a full shift system of duties and consists of the following junior doctors: 2 academic clinical fellows (recognised training posts at CT level), one Foundation Year 2 doctor and 4 junior clinical fellows. The rota for all 7 doctors is the same although only three posts are formal training posts; as such, this post holder will enjoy equal training privileges. On call duties include liaising with GPs concerning referrals, assessment of acute admissions from GP referrals and A/E, and management of all emergencies arising in Urology patients while on call out of hours, in conjunction with other members of the on call team. When on call during normal working hours the post holders work closely with the on call consultant who does not have any elective commitments whilst on call. Foundation Year 1 </w:t>
            </w:r>
            <w:proofErr w:type="gramStart"/>
            <w:r w:rsidRPr="000F081F">
              <w:rPr>
                <w:rFonts w:cs="Arial"/>
                <w:snapToGrid w:val="0"/>
                <w:sz w:val="22"/>
                <w:szCs w:val="22"/>
              </w:rPr>
              <w:t>doctors</w:t>
            </w:r>
            <w:proofErr w:type="gramEnd"/>
            <w:r w:rsidRPr="000F081F">
              <w:rPr>
                <w:rFonts w:cs="Arial"/>
                <w:snapToGrid w:val="0"/>
                <w:sz w:val="22"/>
                <w:szCs w:val="22"/>
              </w:rPr>
              <w:t xml:space="preserve"> typically cover the wards during the day. In the evenings, the </w:t>
            </w:r>
            <w:proofErr w:type="spellStart"/>
            <w:r w:rsidRPr="000F081F">
              <w:rPr>
                <w:rFonts w:cs="Arial"/>
                <w:snapToGrid w:val="0"/>
                <w:sz w:val="22"/>
                <w:szCs w:val="22"/>
              </w:rPr>
              <w:t>postholder</w:t>
            </w:r>
            <w:proofErr w:type="spellEnd"/>
            <w:r w:rsidRPr="000F081F">
              <w:rPr>
                <w:rFonts w:cs="Arial"/>
                <w:snapToGrid w:val="0"/>
                <w:sz w:val="22"/>
                <w:szCs w:val="22"/>
              </w:rPr>
              <w:t xml:space="preserve"> will be supported by a senior middle grade doctor and the consultant. When not on call the </w:t>
            </w:r>
            <w:proofErr w:type="spellStart"/>
            <w:r w:rsidRPr="000F081F">
              <w:rPr>
                <w:rFonts w:cs="Arial"/>
                <w:snapToGrid w:val="0"/>
                <w:sz w:val="22"/>
                <w:szCs w:val="22"/>
              </w:rPr>
              <w:t>postholders</w:t>
            </w:r>
            <w:proofErr w:type="spellEnd"/>
            <w:r w:rsidRPr="000F081F">
              <w:rPr>
                <w:rFonts w:cs="Arial"/>
                <w:snapToGrid w:val="0"/>
                <w:sz w:val="22"/>
                <w:szCs w:val="22"/>
              </w:rPr>
              <w:t xml:space="preserve"> are encouraged to exploit the full range of educational opportunities available in the Urology Department but will also be expected to cover ward duties at times of need. The rota is designed such that one week is spent at Hinchingbrooke Hospital with the Consultant Urologist where you will be expected to partake in the daily activities of urology </w:t>
            </w:r>
            <w:proofErr w:type="spellStart"/>
            <w:r w:rsidRPr="000F081F">
              <w:rPr>
                <w:rFonts w:cs="Arial"/>
                <w:snapToGrid w:val="0"/>
                <w:sz w:val="22"/>
                <w:szCs w:val="22"/>
              </w:rPr>
              <w:t>daycase</w:t>
            </w:r>
            <w:proofErr w:type="spellEnd"/>
            <w:r w:rsidRPr="000F081F">
              <w:rPr>
                <w:rFonts w:cs="Arial"/>
                <w:snapToGrid w:val="0"/>
                <w:sz w:val="22"/>
                <w:szCs w:val="22"/>
              </w:rPr>
              <w:t xml:space="preserve"> lists, flexible cystoscopy lists and urology clinics. A further week is spent undertaking diagnostic work (diagnostic clinics, </w:t>
            </w:r>
            <w:proofErr w:type="spellStart"/>
            <w:r w:rsidRPr="000F081F">
              <w:rPr>
                <w:rFonts w:cs="Arial"/>
                <w:snapToGrid w:val="0"/>
                <w:sz w:val="22"/>
                <w:szCs w:val="22"/>
              </w:rPr>
              <w:t>transrectal</w:t>
            </w:r>
            <w:proofErr w:type="spellEnd"/>
            <w:r w:rsidRPr="000F081F">
              <w:rPr>
                <w:rFonts w:cs="Arial"/>
                <w:snapToGrid w:val="0"/>
                <w:sz w:val="22"/>
                <w:szCs w:val="22"/>
              </w:rPr>
              <w:t xml:space="preserve"> ultrasound-guided </w:t>
            </w:r>
            <w:r w:rsidRPr="000F081F">
              <w:rPr>
                <w:rFonts w:cs="Arial"/>
                <w:snapToGrid w:val="0"/>
                <w:sz w:val="22"/>
                <w:szCs w:val="22"/>
              </w:rPr>
              <w:lastRenderedPageBreak/>
              <w:t xml:space="preserve">prostate biopsies and flexible cystoscopies). Another week is entirely devoted to spending time in theatre where you will be exposed to intermediate and complex urological procedures. You will be encouraged to partake in audit and research and undergo formal </w:t>
            </w:r>
            <w:r w:rsidRPr="000F081F">
              <w:rPr>
                <w:rFonts w:cs="Arial"/>
                <w:sz w:val="22"/>
                <w:szCs w:val="22"/>
              </w:rPr>
              <w:t>workplace based assessments.</w:t>
            </w:r>
          </w:p>
          <w:p w:rsidR="00EC67FF" w:rsidRPr="00F909C5" w:rsidRDefault="00EC67FF" w:rsidP="004B6555">
            <w:pPr>
              <w:jc w:val="both"/>
              <w:rPr>
                <w:rFonts w:cs="Arial"/>
              </w:rPr>
            </w:pPr>
          </w:p>
          <w:p w:rsidR="00EC67FF" w:rsidRPr="00F909C5" w:rsidRDefault="00EC67FF" w:rsidP="004B6555">
            <w:pPr>
              <w:jc w:val="both"/>
              <w:rPr>
                <w:rFonts w:cs="Arial"/>
              </w:rPr>
            </w:pPr>
          </w:p>
        </w:tc>
      </w:tr>
      <w:tr w:rsidR="00EC67FF" w:rsidRPr="004F4EE0" w:rsidTr="004B6555">
        <w:trPr>
          <w:trHeight w:val="144"/>
        </w:trPr>
        <w:tc>
          <w:tcPr>
            <w:tcW w:w="3851" w:type="dxa"/>
          </w:tcPr>
          <w:p w:rsidR="00EC67FF" w:rsidRDefault="00EC67FF" w:rsidP="004B6555">
            <w:pPr>
              <w:jc w:val="both"/>
              <w:rPr>
                <w:rFonts w:cs="Arial"/>
                <w:b/>
                <w:bCs/>
              </w:rPr>
            </w:pPr>
            <w:r>
              <w:rPr>
                <w:rFonts w:cs="Arial"/>
                <w:b/>
                <w:bCs/>
                <w:sz w:val="22"/>
                <w:szCs w:val="22"/>
              </w:rPr>
              <w:lastRenderedPageBreak/>
              <w:t>Typical working pattern in this placement</w:t>
            </w:r>
          </w:p>
        </w:tc>
        <w:tc>
          <w:tcPr>
            <w:tcW w:w="4177" w:type="dxa"/>
          </w:tcPr>
          <w:p w:rsidR="00EC67FF" w:rsidRPr="00F909C5" w:rsidRDefault="00EC67FF" w:rsidP="004B6555">
            <w:pPr>
              <w:rPr>
                <w:rFonts w:cs="Arial"/>
              </w:rPr>
            </w:pPr>
            <w:r w:rsidRPr="00F909C5">
              <w:rPr>
                <w:rFonts w:cs="Arial"/>
                <w:sz w:val="22"/>
                <w:szCs w:val="22"/>
              </w:rPr>
              <w:t>Typical working pattern in this post  e.g. ward rounds, clinics, theatre sessions</w:t>
            </w:r>
          </w:p>
          <w:p w:rsidR="00EC67FF" w:rsidRPr="00046563" w:rsidRDefault="00EC67FF" w:rsidP="004B6555">
            <w:pPr>
              <w:rPr>
                <w:rFonts w:cs="Arial"/>
              </w:rPr>
            </w:pPr>
            <w:r w:rsidRPr="00F909C5">
              <w:rPr>
                <w:rFonts w:cs="Arial"/>
                <w:sz w:val="22"/>
                <w:szCs w:val="22"/>
              </w:rPr>
              <w:t>Daily/weekly</w:t>
            </w:r>
            <w:r>
              <w:rPr>
                <w:rFonts w:cs="Arial"/>
                <w:sz w:val="22"/>
                <w:szCs w:val="22"/>
              </w:rPr>
              <w:t xml:space="preserve">/monthly (if applicable)         </w:t>
            </w:r>
          </w:p>
          <w:p w:rsidR="00EC67FF" w:rsidRPr="00046563" w:rsidRDefault="00EC67FF" w:rsidP="004B6555">
            <w:pPr>
              <w:rPr>
                <w:rFonts w:cs="Arial"/>
              </w:rPr>
            </w:pPr>
          </w:p>
          <w:p w:rsidR="00EC67FF" w:rsidRPr="00F909C5" w:rsidRDefault="00EC67FF" w:rsidP="004B6555">
            <w:pPr>
              <w:rPr>
                <w:rFonts w:cs="Arial"/>
              </w:rPr>
            </w:pPr>
            <w:r w:rsidRPr="00046563">
              <w:rPr>
                <w:rFonts w:cs="Arial"/>
                <w:sz w:val="22"/>
                <w:szCs w:val="22"/>
              </w:rPr>
              <w:t xml:space="preserve">Mon:            </w:t>
            </w:r>
          </w:p>
          <w:p w:rsidR="00EC67FF" w:rsidRPr="00F909C5" w:rsidRDefault="00EC67FF" w:rsidP="004B6555">
            <w:pPr>
              <w:rPr>
                <w:rFonts w:cs="Arial"/>
              </w:rPr>
            </w:pPr>
            <w:r w:rsidRPr="00046563">
              <w:rPr>
                <w:rFonts w:cs="Arial"/>
                <w:sz w:val="22"/>
                <w:szCs w:val="22"/>
              </w:rPr>
              <w:t xml:space="preserve">Tues:           </w:t>
            </w:r>
          </w:p>
          <w:p w:rsidR="00EC67FF" w:rsidRPr="00F909C5" w:rsidRDefault="00EC67FF" w:rsidP="004B6555">
            <w:pPr>
              <w:rPr>
                <w:rFonts w:cs="Arial"/>
              </w:rPr>
            </w:pPr>
            <w:r w:rsidRPr="00046563">
              <w:rPr>
                <w:rFonts w:cs="Arial"/>
                <w:sz w:val="22"/>
                <w:szCs w:val="22"/>
              </w:rPr>
              <w:t xml:space="preserve">Wed:            </w:t>
            </w:r>
          </w:p>
          <w:p w:rsidR="00EC67FF" w:rsidRPr="00F909C5" w:rsidRDefault="00EC67FF" w:rsidP="004B6555">
            <w:pPr>
              <w:rPr>
                <w:rFonts w:cs="Arial"/>
              </w:rPr>
            </w:pPr>
            <w:r w:rsidRPr="00046563">
              <w:rPr>
                <w:rFonts w:cs="Arial"/>
                <w:sz w:val="22"/>
                <w:szCs w:val="22"/>
              </w:rPr>
              <w:t>Thurs:</w:t>
            </w:r>
          </w:p>
          <w:p w:rsidR="00EC67FF" w:rsidRPr="00F909C5" w:rsidRDefault="00EC67FF" w:rsidP="004B6555">
            <w:pPr>
              <w:rPr>
                <w:rFonts w:cs="Arial"/>
              </w:rPr>
            </w:pPr>
            <w:r w:rsidRPr="00046563">
              <w:rPr>
                <w:rFonts w:cs="Arial"/>
                <w:sz w:val="22"/>
                <w:szCs w:val="22"/>
              </w:rPr>
              <w:t xml:space="preserve">Fri:                </w:t>
            </w:r>
          </w:p>
          <w:p w:rsidR="00EC67FF" w:rsidRPr="00F909C5" w:rsidRDefault="00EC67FF" w:rsidP="004B6555">
            <w:pPr>
              <w:rPr>
                <w:rFonts w:cs="Arial"/>
              </w:rPr>
            </w:pPr>
            <w:r w:rsidRPr="00046563">
              <w:rPr>
                <w:rFonts w:cs="Arial"/>
                <w:sz w:val="22"/>
                <w:szCs w:val="22"/>
              </w:rPr>
              <w:t xml:space="preserve">Sat:              </w:t>
            </w:r>
          </w:p>
          <w:p w:rsidR="00EC67FF" w:rsidRPr="00F909C5" w:rsidRDefault="00EC67FF" w:rsidP="004B6555">
            <w:pPr>
              <w:rPr>
                <w:rFonts w:cs="Arial"/>
              </w:rPr>
            </w:pPr>
            <w:r w:rsidRPr="00046563">
              <w:rPr>
                <w:rFonts w:cs="Arial"/>
                <w:sz w:val="22"/>
                <w:szCs w:val="22"/>
              </w:rPr>
              <w:t xml:space="preserve">Sun:             </w:t>
            </w:r>
          </w:p>
          <w:p w:rsidR="00EC67FF" w:rsidRDefault="00EC67FF" w:rsidP="004B6555">
            <w:pPr>
              <w:rPr>
                <w:rFonts w:cs="Arial"/>
              </w:rPr>
            </w:pPr>
          </w:p>
          <w:p w:rsidR="00EC67FF" w:rsidRPr="00F909C5" w:rsidRDefault="00EC67FF" w:rsidP="004B6555">
            <w:pPr>
              <w:rPr>
                <w:rFonts w:cs="Arial"/>
              </w:rPr>
            </w:pPr>
            <w:r w:rsidRPr="00046563">
              <w:rPr>
                <w:rFonts w:cs="Arial"/>
                <w:sz w:val="22"/>
                <w:szCs w:val="22"/>
              </w:rPr>
              <w:t xml:space="preserve">Mon:            </w:t>
            </w:r>
          </w:p>
          <w:p w:rsidR="00EC67FF" w:rsidRPr="00F909C5" w:rsidRDefault="00EC67FF" w:rsidP="004B6555">
            <w:pPr>
              <w:rPr>
                <w:rFonts w:cs="Arial"/>
              </w:rPr>
            </w:pPr>
            <w:r w:rsidRPr="00046563">
              <w:rPr>
                <w:rFonts w:cs="Arial"/>
                <w:sz w:val="22"/>
                <w:szCs w:val="22"/>
              </w:rPr>
              <w:t xml:space="preserve">Tues:           </w:t>
            </w:r>
          </w:p>
          <w:p w:rsidR="00EC67FF" w:rsidRPr="00F909C5" w:rsidRDefault="00EC67FF" w:rsidP="004B6555">
            <w:pPr>
              <w:rPr>
                <w:rFonts w:cs="Arial"/>
              </w:rPr>
            </w:pPr>
            <w:r w:rsidRPr="00046563">
              <w:rPr>
                <w:rFonts w:cs="Arial"/>
                <w:sz w:val="22"/>
                <w:szCs w:val="22"/>
              </w:rPr>
              <w:t xml:space="preserve">Wed:            </w:t>
            </w:r>
          </w:p>
          <w:p w:rsidR="00EC67FF" w:rsidRPr="00F909C5" w:rsidRDefault="00EC67FF" w:rsidP="004B6555">
            <w:pPr>
              <w:rPr>
                <w:rFonts w:cs="Arial"/>
              </w:rPr>
            </w:pPr>
            <w:r w:rsidRPr="00046563">
              <w:rPr>
                <w:rFonts w:cs="Arial"/>
                <w:sz w:val="22"/>
                <w:szCs w:val="22"/>
              </w:rPr>
              <w:t>Thurs:</w:t>
            </w:r>
          </w:p>
          <w:p w:rsidR="00EC67FF" w:rsidRPr="00F909C5" w:rsidRDefault="00EC67FF" w:rsidP="004B6555">
            <w:pPr>
              <w:rPr>
                <w:rFonts w:cs="Arial"/>
              </w:rPr>
            </w:pPr>
            <w:r w:rsidRPr="00046563">
              <w:rPr>
                <w:rFonts w:cs="Arial"/>
                <w:sz w:val="22"/>
                <w:szCs w:val="22"/>
              </w:rPr>
              <w:t xml:space="preserve">Fri:                </w:t>
            </w:r>
          </w:p>
          <w:p w:rsidR="00EC67FF" w:rsidRPr="00F909C5" w:rsidRDefault="00EC67FF" w:rsidP="004B6555">
            <w:pPr>
              <w:rPr>
                <w:rFonts w:cs="Arial"/>
              </w:rPr>
            </w:pPr>
            <w:r w:rsidRPr="00046563">
              <w:rPr>
                <w:rFonts w:cs="Arial"/>
                <w:sz w:val="22"/>
                <w:szCs w:val="22"/>
              </w:rPr>
              <w:t xml:space="preserve">Sat:              </w:t>
            </w:r>
          </w:p>
          <w:p w:rsidR="00EC67FF" w:rsidRPr="00F909C5" w:rsidRDefault="00EC67FF" w:rsidP="004B6555">
            <w:pPr>
              <w:rPr>
                <w:rFonts w:cs="Arial"/>
              </w:rPr>
            </w:pPr>
            <w:r w:rsidRPr="00046563">
              <w:rPr>
                <w:rFonts w:cs="Arial"/>
                <w:sz w:val="22"/>
                <w:szCs w:val="22"/>
              </w:rPr>
              <w:t xml:space="preserve">Sun:             </w:t>
            </w:r>
          </w:p>
          <w:p w:rsidR="00EC67FF" w:rsidRPr="00F909C5" w:rsidRDefault="00EC67FF" w:rsidP="004B6555">
            <w:pPr>
              <w:rPr>
                <w:rFonts w:cs="Arial"/>
              </w:rPr>
            </w:pPr>
          </w:p>
          <w:p w:rsidR="00EC67FF" w:rsidRPr="00F909C5" w:rsidRDefault="00EC67FF" w:rsidP="004B6555">
            <w:pPr>
              <w:rPr>
                <w:rFonts w:cs="Arial"/>
              </w:rPr>
            </w:pPr>
            <w:r w:rsidRPr="00046563">
              <w:rPr>
                <w:rFonts w:cs="Arial"/>
                <w:i/>
                <w:iCs/>
                <w:sz w:val="22"/>
                <w:szCs w:val="22"/>
              </w:rPr>
              <w:t>On call requirements:</w:t>
            </w:r>
            <w:r w:rsidRPr="00F909C5">
              <w:rPr>
                <w:rFonts w:cs="Arial"/>
                <w:sz w:val="22"/>
                <w:szCs w:val="22"/>
              </w:rPr>
              <w:t xml:space="preserve">  </w:t>
            </w:r>
          </w:p>
        </w:tc>
      </w:tr>
      <w:tr w:rsidR="00EC67FF" w:rsidRPr="004F4EE0" w:rsidTr="004B6555">
        <w:trPr>
          <w:trHeight w:val="144"/>
        </w:trPr>
        <w:tc>
          <w:tcPr>
            <w:tcW w:w="3851" w:type="dxa"/>
          </w:tcPr>
          <w:p w:rsidR="00EC67FF" w:rsidRPr="00C70B03" w:rsidRDefault="00EC67FF" w:rsidP="004B6555">
            <w:pPr>
              <w:rPr>
                <w:rFonts w:cs="Arial"/>
                <w:b/>
                <w:bCs/>
              </w:rPr>
            </w:pPr>
            <w:r>
              <w:rPr>
                <w:rFonts w:cs="Arial"/>
                <w:b/>
                <w:bCs/>
                <w:sz w:val="22"/>
                <w:szCs w:val="22"/>
              </w:rPr>
              <w:t>Employer information</w:t>
            </w:r>
          </w:p>
        </w:tc>
        <w:tc>
          <w:tcPr>
            <w:tcW w:w="4177" w:type="dxa"/>
          </w:tcPr>
          <w:p w:rsidR="00EC67FF" w:rsidRPr="00F909C5" w:rsidRDefault="00EC67FF" w:rsidP="004B6555">
            <w:pPr>
              <w:pStyle w:val="BodyText"/>
              <w:rPr>
                <w:rFonts w:ascii="Arial" w:hAnsi="Arial" w:cs="Arial"/>
              </w:rPr>
            </w:pPr>
          </w:p>
          <w:p w:rsidR="00EC67FF" w:rsidRPr="00F909C5" w:rsidRDefault="00EC67FF" w:rsidP="004B6555">
            <w:pPr>
              <w:pStyle w:val="BodyText"/>
              <w:rPr>
                <w:rFonts w:ascii="Arial" w:hAnsi="Arial" w:cs="Arial"/>
              </w:rPr>
            </w:pPr>
          </w:p>
        </w:tc>
      </w:tr>
    </w:tbl>
    <w:p w:rsidR="00EC67FF" w:rsidRDefault="00EC67FF" w:rsidP="00EC67FF">
      <w:pPr>
        <w:rPr>
          <w:rFonts w:cs="Arial"/>
          <w:sz w:val="22"/>
          <w:szCs w:val="22"/>
        </w:rPr>
      </w:pPr>
    </w:p>
    <w:p w:rsidR="00EC67FF" w:rsidRPr="000127C0" w:rsidRDefault="00EC67FF" w:rsidP="00EC67FF">
      <w:pPr>
        <w:rPr>
          <w:rFonts w:cs="Arial"/>
          <w:sz w:val="22"/>
          <w:szCs w:val="22"/>
        </w:rPr>
      </w:pPr>
      <w:r>
        <w:rPr>
          <w:rFonts w:cs="Arial"/>
          <w:sz w:val="22"/>
          <w:szCs w:val="22"/>
        </w:rPr>
        <w:t>It is important to note that this description is a typical example of your placement and may be subject to change.</w:t>
      </w:r>
    </w:p>
    <w:p w:rsidR="00EC67FF" w:rsidRDefault="00EC67FF" w:rsidP="00EC67FF"/>
    <w:p w:rsidR="00DF21D4" w:rsidRPr="00EC67FF" w:rsidRDefault="00DF21D4" w:rsidP="00EC67FF"/>
    <w:sectPr w:rsidR="00DF21D4" w:rsidRPr="00EC67FF" w:rsidSect="002D6A01">
      <w:headerReference w:type="default" r:id="rId8"/>
      <w:footerReference w:type="default" r:id="rId9"/>
      <w:pgSz w:w="11906" w:h="16838"/>
      <w:pgMar w:top="1701" w:right="1800" w:bottom="1560" w:left="1800" w:header="708" w:footer="24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5BF" w:rsidRDefault="00EE05BF" w:rsidP="00C2247A">
      <w:r>
        <w:separator/>
      </w:r>
    </w:p>
  </w:endnote>
  <w:endnote w:type="continuationSeparator" w:id="0">
    <w:p w:rsidR="00EE05BF" w:rsidRDefault="00EE05BF" w:rsidP="00C22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605D" w:rsidRPr="001B0DFB" w:rsidRDefault="00EB508F" w:rsidP="00EB508F">
    <w:pPr>
      <w:ind w:left="720" w:firstLine="720"/>
      <w:rPr>
        <w:rFonts w:ascii="Calibri" w:hAnsi="Calibri" w:cs="Calibri"/>
      </w:rPr>
    </w:pPr>
    <w:r>
      <w:rPr>
        <w:noProof/>
      </w:rPr>
      <w:drawing>
        <wp:anchor distT="0" distB="0" distL="114300" distR="114300" simplePos="0" relativeHeight="251659264" behindDoc="1" locked="0" layoutInCell="1" allowOverlap="1" wp14:anchorId="56A0F8A7" wp14:editId="786FF3DC">
          <wp:simplePos x="0" y="0"/>
          <wp:positionH relativeFrom="column">
            <wp:posOffset>-1372870</wp:posOffset>
          </wp:positionH>
          <wp:positionV relativeFrom="paragraph">
            <wp:posOffset>-141605</wp:posOffset>
          </wp:positionV>
          <wp:extent cx="7559040" cy="1016000"/>
          <wp:effectExtent l="0" t="0" r="3810" b="0"/>
          <wp:wrapNone/>
          <wp:docPr id="1" name="Picture 1" descr="letterheads v4-1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s v4-1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16000"/>
                  </a:xfrm>
                  <a:prstGeom prst="rect">
                    <a:avLst/>
                  </a:prstGeom>
                  <a:noFill/>
                </pic:spPr>
              </pic:pic>
            </a:graphicData>
          </a:graphic>
          <wp14:sizeRelH relativeFrom="page">
            <wp14:pctWidth>0</wp14:pctWidth>
          </wp14:sizeRelH>
          <wp14:sizeRelV relativeFrom="page">
            <wp14:pctHeight>0</wp14:pctHeight>
          </wp14:sizeRelV>
        </wp:anchor>
      </w:drawing>
    </w:r>
  </w:p>
  <w:p w:rsidR="000A605D" w:rsidRPr="001B0DFB" w:rsidRDefault="00A65291" w:rsidP="00EB508F">
    <w:pPr>
      <w:ind w:left="720" w:firstLine="720"/>
      <w:rPr>
        <w:rFonts w:ascii="Calibri" w:hAnsi="Calibri" w:cs="Calibri"/>
      </w:rPr>
    </w:pPr>
    <w:r>
      <w:rPr>
        <w:rFonts w:ascii="Calibri" w:hAnsi="Calibri" w:cs="Calibri"/>
      </w:rPr>
      <w:t xml:space="preserve"> </w:t>
    </w:r>
  </w:p>
  <w:p w:rsidR="000A605D" w:rsidRDefault="000A60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5BF" w:rsidRDefault="00EE05BF" w:rsidP="00C2247A">
      <w:r>
        <w:separator/>
      </w:r>
    </w:p>
  </w:footnote>
  <w:footnote w:type="continuationSeparator" w:id="0">
    <w:p w:rsidR="00EE05BF" w:rsidRDefault="00EE05BF" w:rsidP="00C224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508F" w:rsidRDefault="00A65291">
    <w:pPr>
      <w:pStyle w:val="Header"/>
    </w:pPr>
    <w:r>
      <w:rPr>
        <w:rFonts w:asciiTheme="minorHAnsi" w:hAnsiTheme="minorHAnsi" w:cstheme="minorHAnsi"/>
        <w:noProof/>
      </w:rPr>
      <w:drawing>
        <wp:anchor distT="0" distB="0" distL="114300" distR="114300" simplePos="0" relativeHeight="251661312" behindDoc="1" locked="0" layoutInCell="1" allowOverlap="1" wp14:anchorId="535AC903" wp14:editId="5CDE48F0">
          <wp:simplePos x="0" y="0"/>
          <wp:positionH relativeFrom="column">
            <wp:posOffset>3371850</wp:posOffset>
          </wp:positionH>
          <wp:positionV relativeFrom="paragraph">
            <wp:posOffset>-97155</wp:posOffset>
          </wp:positionV>
          <wp:extent cx="2700000" cy="684000"/>
          <wp:effectExtent l="0" t="0" r="571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E Logo.jpg"/>
                  <pic:cNvPicPr/>
                </pic:nvPicPr>
                <pic:blipFill>
                  <a:blip r:embed="rId1">
                    <a:extLst>
                      <a:ext uri="{28A0092B-C50C-407E-A947-70E740481C1C}">
                        <a14:useLocalDpi xmlns:a14="http://schemas.microsoft.com/office/drawing/2010/main" val="0"/>
                      </a:ext>
                    </a:extLst>
                  </a:blip>
                  <a:stretch>
                    <a:fillRect/>
                  </a:stretch>
                </pic:blipFill>
                <pic:spPr>
                  <a:xfrm>
                    <a:off x="0" y="0"/>
                    <a:ext cx="2700000" cy="684000"/>
                  </a:xfrm>
                  <a:prstGeom prst="rect">
                    <a:avLst/>
                  </a:prstGeom>
                </pic:spPr>
              </pic:pic>
            </a:graphicData>
          </a:graphic>
          <wp14:sizeRelH relativeFrom="page">
            <wp14:pctWidth>0</wp14:pctWidth>
          </wp14:sizeRelH>
          <wp14:sizeRelV relativeFrom="page">
            <wp14:pctHeight>0</wp14:pctHeight>
          </wp14:sizeRelV>
        </wp:anchor>
      </w:drawing>
    </w:r>
  </w:p>
  <w:p w:rsidR="00EB508F" w:rsidRDefault="00EB50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94C25"/>
    <w:multiLevelType w:val="hybridMultilevel"/>
    <w:tmpl w:val="CD4465D4"/>
    <w:lvl w:ilvl="0" w:tplc="08090001">
      <w:start w:val="1"/>
      <w:numFmt w:val="bullet"/>
      <w:lvlText w:val=""/>
      <w:lvlJc w:val="left"/>
      <w:pPr>
        <w:ind w:left="360" w:hanging="360"/>
      </w:pPr>
      <w:rPr>
        <w:rFonts w:ascii="Symbol" w:hAnsi="Symbol" w:hint="default"/>
        <w:sz w:val="22"/>
        <w:szCs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9317BCB"/>
    <w:multiLevelType w:val="hybridMultilevel"/>
    <w:tmpl w:val="E2102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03912F0"/>
    <w:multiLevelType w:val="hybridMultilevel"/>
    <w:tmpl w:val="75443A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3">
    <w:nsid w:val="5D3F15C4"/>
    <w:multiLevelType w:val="hybridMultilevel"/>
    <w:tmpl w:val="443AF624"/>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4">
    <w:nsid w:val="6EDA7C45"/>
    <w:multiLevelType w:val="hybridMultilevel"/>
    <w:tmpl w:val="3D5EC164"/>
    <w:lvl w:ilvl="0" w:tplc="08090001">
      <w:start w:val="1"/>
      <w:numFmt w:val="bullet"/>
      <w:lvlText w:val=""/>
      <w:lvlJc w:val="left"/>
      <w:pPr>
        <w:tabs>
          <w:tab w:val="num" w:pos="720"/>
        </w:tabs>
        <w:ind w:left="720" w:hanging="360"/>
      </w:pPr>
      <w:rPr>
        <w:rFonts w:ascii="Symbol" w:hAnsi="Symbol" w:hint="default"/>
      </w:rPr>
    </w:lvl>
    <w:lvl w:ilvl="1" w:tplc="BA1C36B2">
      <w:start w:val="2"/>
      <w:numFmt w:val="bullet"/>
      <w:lvlText w:val="-"/>
      <w:lvlJc w:val="left"/>
      <w:pPr>
        <w:tabs>
          <w:tab w:val="num" w:pos="1440"/>
        </w:tabs>
        <w:ind w:left="1440" w:hanging="360"/>
      </w:pPr>
      <w:rPr>
        <w:rFonts w:ascii="Times New Roman" w:eastAsia="Times New Roman" w:hAnsi="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709016AF"/>
    <w:multiLevelType w:val="hybridMultilevel"/>
    <w:tmpl w:val="4DC83F18"/>
    <w:lvl w:ilvl="0" w:tplc="0C36F8D6">
      <w:start w:val="1"/>
      <w:numFmt w:val="bullet"/>
      <w:lvlText w:val=""/>
      <w:lvlJc w:val="left"/>
      <w:pPr>
        <w:ind w:left="720" w:hanging="360"/>
      </w:pPr>
      <w:rPr>
        <w:rFonts w:asciiTheme="minorHAnsi" w:hAnsiTheme="minorHAnsi" w:cstheme="minorHAns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6806CA1"/>
    <w:multiLevelType w:val="hybridMultilevel"/>
    <w:tmpl w:val="7854C6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76AB4158"/>
    <w:multiLevelType w:val="hybridMultilevel"/>
    <w:tmpl w:val="0E9258E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abstractNumId w:val="2"/>
  </w:num>
  <w:num w:numId="2">
    <w:abstractNumId w:val="2"/>
  </w:num>
  <w:num w:numId="3">
    <w:abstractNumId w:val="5"/>
  </w:num>
  <w:num w:numId="4">
    <w:abstractNumId w:val="0"/>
  </w:num>
  <w:num w:numId="5">
    <w:abstractNumId w:val="6"/>
  </w:num>
  <w:num w:numId="6">
    <w:abstractNumId w:val="7"/>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47A"/>
    <w:rsid w:val="000A605D"/>
    <w:rsid w:val="000E4AAE"/>
    <w:rsid w:val="000F4C03"/>
    <w:rsid w:val="002D6A01"/>
    <w:rsid w:val="002F3726"/>
    <w:rsid w:val="00363F01"/>
    <w:rsid w:val="003963AC"/>
    <w:rsid w:val="00472B89"/>
    <w:rsid w:val="005F73FC"/>
    <w:rsid w:val="007363F6"/>
    <w:rsid w:val="007950BD"/>
    <w:rsid w:val="008206BB"/>
    <w:rsid w:val="0085290E"/>
    <w:rsid w:val="008C3E0E"/>
    <w:rsid w:val="008F2E22"/>
    <w:rsid w:val="00967A91"/>
    <w:rsid w:val="009919DF"/>
    <w:rsid w:val="00A65291"/>
    <w:rsid w:val="00AB50E2"/>
    <w:rsid w:val="00AB523E"/>
    <w:rsid w:val="00BC5EC3"/>
    <w:rsid w:val="00C2247A"/>
    <w:rsid w:val="00D22CF2"/>
    <w:rsid w:val="00DF21D4"/>
    <w:rsid w:val="00E2750E"/>
    <w:rsid w:val="00EB508F"/>
    <w:rsid w:val="00EC665C"/>
    <w:rsid w:val="00EC67FF"/>
    <w:rsid w:val="00EE05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47A"/>
    <w:pPr>
      <w:spacing w:after="0" w:line="240" w:lineRule="auto"/>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247A"/>
    <w:rPr>
      <w:color w:val="0000FF" w:themeColor="hyperlink"/>
      <w:u w:val="single"/>
    </w:rPr>
  </w:style>
  <w:style w:type="paragraph" w:styleId="Header">
    <w:name w:val="header"/>
    <w:basedOn w:val="Normal"/>
    <w:link w:val="HeaderChar"/>
    <w:uiPriority w:val="99"/>
    <w:unhideWhenUsed/>
    <w:rsid w:val="00C2247A"/>
    <w:pPr>
      <w:tabs>
        <w:tab w:val="center" w:pos="4513"/>
        <w:tab w:val="right" w:pos="9026"/>
      </w:tabs>
    </w:pPr>
  </w:style>
  <w:style w:type="character" w:customStyle="1" w:styleId="HeaderChar">
    <w:name w:val="Header Char"/>
    <w:basedOn w:val="DefaultParagraphFont"/>
    <w:link w:val="Header"/>
    <w:uiPriority w:val="99"/>
    <w:rsid w:val="00C2247A"/>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C2247A"/>
    <w:pPr>
      <w:tabs>
        <w:tab w:val="center" w:pos="4513"/>
        <w:tab w:val="right" w:pos="9026"/>
      </w:tabs>
    </w:pPr>
  </w:style>
  <w:style w:type="character" w:customStyle="1" w:styleId="FooterChar">
    <w:name w:val="Footer Char"/>
    <w:basedOn w:val="DefaultParagraphFont"/>
    <w:link w:val="Footer"/>
    <w:uiPriority w:val="99"/>
    <w:rsid w:val="00C2247A"/>
    <w:rPr>
      <w:rFonts w:ascii="Arial" w:eastAsia="Times New Roman" w:hAnsi="Arial" w:cs="Times New Roman"/>
      <w:sz w:val="24"/>
      <w:szCs w:val="24"/>
      <w:lang w:eastAsia="en-GB"/>
    </w:rPr>
  </w:style>
  <w:style w:type="paragraph" w:styleId="ListParagraph">
    <w:name w:val="List Paragraph"/>
    <w:basedOn w:val="Normal"/>
    <w:uiPriority w:val="34"/>
    <w:qFormat/>
    <w:rsid w:val="0085290E"/>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uiPriority w:val="99"/>
    <w:semiHidden/>
    <w:unhideWhenUsed/>
    <w:rsid w:val="00EC665C"/>
    <w:rPr>
      <w:rFonts w:ascii="Tahoma" w:hAnsi="Tahoma" w:cs="Tahoma"/>
      <w:sz w:val="16"/>
      <w:szCs w:val="16"/>
    </w:rPr>
  </w:style>
  <w:style w:type="character" w:customStyle="1" w:styleId="BalloonTextChar">
    <w:name w:val="Balloon Text Char"/>
    <w:basedOn w:val="DefaultParagraphFont"/>
    <w:link w:val="BalloonText"/>
    <w:uiPriority w:val="99"/>
    <w:semiHidden/>
    <w:rsid w:val="00EC665C"/>
    <w:rPr>
      <w:rFonts w:ascii="Tahoma" w:eastAsia="Times New Roman" w:hAnsi="Tahoma" w:cs="Tahoma"/>
      <w:sz w:val="16"/>
      <w:szCs w:val="16"/>
      <w:lang w:eastAsia="en-GB"/>
    </w:rPr>
  </w:style>
  <w:style w:type="paragraph" w:styleId="BodyText">
    <w:name w:val="Body Text"/>
    <w:basedOn w:val="Normal"/>
    <w:link w:val="BodyTextChar"/>
    <w:uiPriority w:val="99"/>
    <w:rsid w:val="00DF21D4"/>
    <w:pPr>
      <w:widowControl w:val="0"/>
      <w:jc w:val="both"/>
    </w:pPr>
    <w:rPr>
      <w:rFonts w:ascii="Times New Roman" w:hAnsi="Times New Roman"/>
      <w:sz w:val="22"/>
      <w:szCs w:val="20"/>
      <w:lang w:eastAsia="en-US"/>
    </w:rPr>
  </w:style>
  <w:style w:type="character" w:customStyle="1" w:styleId="BodyTextChar">
    <w:name w:val="Body Text Char"/>
    <w:basedOn w:val="DefaultParagraphFont"/>
    <w:link w:val="BodyText"/>
    <w:uiPriority w:val="99"/>
    <w:rsid w:val="00DF21D4"/>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6314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Heidi_Breed</dc:creator>
  <cp:lastModifiedBy>Hunt Rosy</cp:lastModifiedBy>
  <cp:revision>2</cp:revision>
  <cp:lastPrinted>2014-01-07T09:15:00Z</cp:lastPrinted>
  <dcterms:created xsi:type="dcterms:W3CDTF">2016-09-21T08:39:00Z</dcterms:created>
  <dcterms:modified xsi:type="dcterms:W3CDTF">2016-09-21T08:39:00Z</dcterms:modified>
</cp:coreProperties>
</file>