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4624"/>
      </w:tblGrid>
      <w:tr w:rsidR="00B14BFC" w:rsidTr="00F0433D">
        <w:tc>
          <w:tcPr>
            <w:tcW w:w="9242" w:type="dxa"/>
            <w:gridSpan w:val="2"/>
            <w:tcBorders>
              <w:top w:val="nil"/>
              <w:left w:val="nil"/>
              <w:right w:val="nil"/>
            </w:tcBorders>
          </w:tcPr>
          <w:p w:rsidR="00B14BFC" w:rsidRDefault="00B14BFC" w:rsidP="00F0433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:rsidR="00B14BFC" w:rsidRDefault="00B14BFC" w:rsidP="00F0433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North 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bCs/>
                  <w:sz w:val="28"/>
                  <w:szCs w:val="28"/>
                  <w:lang w:eastAsia="en-US"/>
                </w:rPr>
                <w:t>East London</w:t>
              </w:r>
            </w:smartTag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 Foundation Trust</w:t>
            </w:r>
          </w:p>
          <w:p w:rsidR="00B14BFC" w:rsidRDefault="00B14BFC" w:rsidP="00CC212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Individ</w:t>
            </w:r>
            <w:r w:rsidR="009A62D6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ual Placement Description ( Community Paediatrics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 xml:space="preserve"> )</w:t>
            </w:r>
          </w:p>
        </w:tc>
      </w:tr>
      <w:tr w:rsidR="00B14BFC" w:rsidTr="00F0433D">
        <w:tc>
          <w:tcPr>
            <w:tcW w:w="4618" w:type="dxa"/>
          </w:tcPr>
          <w:p w:rsidR="00B14BFC" w:rsidRDefault="00B14BFC" w:rsidP="00F0433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Placement</w:t>
            </w:r>
          </w:p>
        </w:tc>
        <w:tc>
          <w:tcPr>
            <w:tcW w:w="4624" w:type="dxa"/>
          </w:tcPr>
          <w:p w:rsidR="00B14BFC" w:rsidRDefault="00B14BFC" w:rsidP="004E7BF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FY2 </w:t>
            </w:r>
          </w:p>
        </w:tc>
      </w:tr>
      <w:tr w:rsidR="00B14BFC" w:rsidTr="00AC4366">
        <w:tc>
          <w:tcPr>
            <w:tcW w:w="4618" w:type="dxa"/>
          </w:tcPr>
          <w:p w:rsidR="00B14BFC" w:rsidRDefault="00B14BFC" w:rsidP="00F0433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The Department</w:t>
            </w:r>
          </w:p>
        </w:tc>
        <w:tc>
          <w:tcPr>
            <w:tcW w:w="4624" w:type="dxa"/>
          </w:tcPr>
          <w:p w:rsidR="00B14BFC" w:rsidRDefault="00717404" w:rsidP="00F0433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Brentwood Community Hospital</w:t>
            </w:r>
          </w:p>
          <w:p w:rsidR="00717404" w:rsidRDefault="00717404" w:rsidP="00F0433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Specialist Community Services</w:t>
            </w:r>
          </w:p>
          <w:p w:rsidR="00717404" w:rsidRDefault="00717404" w:rsidP="00F0433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Crescent Drive</w:t>
            </w:r>
          </w:p>
          <w:p w:rsidR="00717404" w:rsidRDefault="00717404" w:rsidP="00F0433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Brentwood</w:t>
            </w:r>
          </w:p>
          <w:p w:rsidR="00717404" w:rsidRDefault="00717404" w:rsidP="00F0433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Essex CM15 8DR</w:t>
            </w:r>
          </w:p>
        </w:tc>
      </w:tr>
      <w:tr w:rsidR="00B14BFC" w:rsidTr="00F0433D">
        <w:tc>
          <w:tcPr>
            <w:tcW w:w="4618" w:type="dxa"/>
          </w:tcPr>
          <w:p w:rsidR="00B14BFC" w:rsidRDefault="00B14BFC" w:rsidP="00F0433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The type of work expected and learning opportunities</w:t>
            </w:r>
          </w:p>
        </w:tc>
        <w:tc>
          <w:tcPr>
            <w:tcW w:w="4624" w:type="dxa"/>
          </w:tcPr>
          <w:p w:rsidR="00B14BFC" w:rsidRDefault="00717404" w:rsidP="0071740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This is </w:t>
            </w:r>
            <w:r w:rsidR="004E7BF5">
              <w:rPr>
                <w:rFonts w:ascii="Arial" w:hAnsi="Arial" w:cs="Arial"/>
                <w:lang w:eastAsia="en-US"/>
              </w:rPr>
              <w:t>specialist children’s</w:t>
            </w:r>
            <w:r>
              <w:rPr>
                <w:rFonts w:ascii="Arial" w:hAnsi="Arial" w:cs="Arial"/>
                <w:lang w:eastAsia="en-US"/>
              </w:rPr>
              <w:t xml:space="preserve"> services for assessment and management of children with neurodevelopmental disorders in the community.  The post will provide the trainee knowledge, skills and attitudes to be able</w:t>
            </w:r>
          </w:p>
          <w:p w:rsidR="00717404" w:rsidRDefault="00717404" w:rsidP="007174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Take paediatric history which will involve gathering information about general health and development</w:t>
            </w:r>
          </w:p>
          <w:p w:rsidR="00717404" w:rsidRDefault="00717404" w:rsidP="007174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Will be able to take a detailed history of the child’s developmental stages</w:t>
            </w:r>
          </w:p>
          <w:p w:rsidR="00717404" w:rsidRDefault="00717404" w:rsidP="007174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Will be able to perform a developmental assessment</w:t>
            </w:r>
          </w:p>
          <w:p w:rsidR="00717404" w:rsidRDefault="00717404" w:rsidP="007174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Will be able to gather information about the family and assess the contributing factors to the child’s difficulties</w:t>
            </w:r>
          </w:p>
          <w:p w:rsidR="00717404" w:rsidRDefault="00717404" w:rsidP="007174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Will be able to take detailed history of the child’s functioning </w:t>
            </w:r>
            <w:r w:rsidR="00F854B2">
              <w:rPr>
                <w:rFonts w:ascii="Arial" w:hAnsi="Arial" w:cs="Arial"/>
                <w:lang w:eastAsia="en-US"/>
              </w:rPr>
              <w:t>within home and school</w:t>
            </w:r>
          </w:p>
          <w:p w:rsidR="00F854B2" w:rsidRDefault="00F854B2" w:rsidP="007174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Assessment of the child’s developmental skills</w:t>
            </w:r>
          </w:p>
          <w:p w:rsidR="00F854B2" w:rsidRDefault="00F854B2" w:rsidP="007174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Assessment of the child’s motor skills, speech skills as well as social skills</w:t>
            </w:r>
          </w:p>
          <w:p w:rsidR="00F854B2" w:rsidRDefault="00F854B2" w:rsidP="007174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Management of behavioural difficulties</w:t>
            </w:r>
          </w:p>
          <w:p w:rsidR="00F854B2" w:rsidRDefault="00F854B2" w:rsidP="007174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Management of developmental problems</w:t>
            </w:r>
          </w:p>
          <w:p w:rsidR="00F854B2" w:rsidRDefault="00F854B2" w:rsidP="007174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Prescribe safely </w:t>
            </w:r>
            <w:r w:rsidR="00970B30">
              <w:rPr>
                <w:rFonts w:ascii="Arial" w:hAnsi="Arial" w:cs="Arial"/>
                <w:lang w:eastAsia="en-US"/>
              </w:rPr>
              <w:t xml:space="preserve">and </w:t>
            </w:r>
            <w:r>
              <w:rPr>
                <w:rFonts w:ascii="Arial" w:hAnsi="Arial" w:cs="Arial"/>
                <w:lang w:eastAsia="en-US"/>
              </w:rPr>
              <w:t>effective documentation record keeping</w:t>
            </w:r>
          </w:p>
          <w:p w:rsidR="00F854B2" w:rsidRDefault="00F854B2" w:rsidP="007174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Communicative effective</w:t>
            </w:r>
            <w:r w:rsidR="00970B30">
              <w:rPr>
                <w:rFonts w:ascii="Arial" w:hAnsi="Arial" w:cs="Arial"/>
                <w:lang w:eastAsia="en-US"/>
              </w:rPr>
              <w:t>ly</w:t>
            </w:r>
            <w:r>
              <w:rPr>
                <w:rFonts w:ascii="Arial" w:hAnsi="Arial" w:cs="Arial"/>
                <w:lang w:eastAsia="en-US"/>
              </w:rPr>
              <w:t xml:space="preserve"> with patients</w:t>
            </w:r>
            <w:r w:rsidR="00970B30">
              <w:rPr>
                <w:rFonts w:ascii="Arial" w:hAnsi="Arial" w:cs="Arial"/>
                <w:lang w:eastAsia="en-US"/>
              </w:rPr>
              <w:t>,</w:t>
            </w:r>
            <w:r>
              <w:rPr>
                <w:rFonts w:ascii="Arial" w:hAnsi="Arial" w:cs="Arial"/>
                <w:lang w:eastAsia="en-US"/>
              </w:rPr>
              <w:t xml:space="preserve"> especially </w:t>
            </w:r>
            <w:r w:rsidR="00970B30">
              <w:rPr>
                <w:rFonts w:ascii="Arial" w:hAnsi="Arial" w:cs="Arial"/>
                <w:lang w:eastAsia="en-US"/>
              </w:rPr>
              <w:t xml:space="preserve">with </w:t>
            </w:r>
            <w:r>
              <w:rPr>
                <w:rFonts w:ascii="Arial" w:hAnsi="Arial" w:cs="Arial"/>
                <w:lang w:eastAsia="en-US"/>
              </w:rPr>
              <w:t xml:space="preserve">children and </w:t>
            </w:r>
            <w:r w:rsidR="00970B30">
              <w:rPr>
                <w:rFonts w:ascii="Arial" w:hAnsi="Arial" w:cs="Arial"/>
                <w:lang w:eastAsia="en-US"/>
              </w:rPr>
              <w:t xml:space="preserve">young people, </w:t>
            </w:r>
            <w:r>
              <w:rPr>
                <w:rFonts w:ascii="Arial" w:hAnsi="Arial" w:cs="Arial"/>
                <w:lang w:eastAsia="en-US"/>
              </w:rPr>
              <w:t>parents</w:t>
            </w:r>
            <w:r w:rsidR="00970B30">
              <w:rPr>
                <w:rFonts w:ascii="Arial" w:hAnsi="Arial" w:cs="Arial"/>
                <w:lang w:eastAsia="en-US"/>
              </w:rPr>
              <w:t xml:space="preserve"> and  </w:t>
            </w:r>
            <w:r w:rsidR="00970B30">
              <w:rPr>
                <w:rFonts w:ascii="Arial" w:hAnsi="Arial" w:cs="Arial"/>
                <w:lang w:eastAsia="en-US"/>
              </w:rPr>
              <w:lastRenderedPageBreak/>
              <w:t>multidisciplinary colleagues</w:t>
            </w:r>
          </w:p>
          <w:p w:rsidR="00F854B2" w:rsidRDefault="00F854B2" w:rsidP="007174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Maintain confidentially in line with the Caldecott principles</w:t>
            </w:r>
          </w:p>
          <w:p w:rsidR="00F854B2" w:rsidRDefault="00F854B2" w:rsidP="007174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Use evidence, guidelines and audits to benefit patient care</w:t>
            </w:r>
          </w:p>
          <w:p w:rsidR="00F854B2" w:rsidRDefault="00F854B2" w:rsidP="007174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Act in a professional manner at all times</w:t>
            </w:r>
          </w:p>
          <w:p w:rsidR="00F854B2" w:rsidRPr="00717404" w:rsidRDefault="00F854B2" w:rsidP="0071740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Robust knowledge and skills with safe guarding issues with children</w:t>
            </w:r>
          </w:p>
          <w:p w:rsidR="00717404" w:rsidRDefault="00717404" w:rsidP="0071740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B14BFC" w:rsidTr="00F0433D">
        <w:tc>
          <w:tcPr>
            <w:tcW w:w="4618" w:type="dxa"/>
          </w:tcPr>
          <w:p w:rsidR="00B14BFC" w:rsidRDefault="00B14BFC" w:rsidP="00F0433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Main studies of the placement</w:t>
            </w:r>
          </w:p>
        </w:tc>
        <w:tc>
          <w:tcPr>
            <w:tcW w:w="4624" w:type="dxa"/>
          </w:tcPr>
          <w:p w:rsidR="00F854B2" w:rsidRDefault="00F854B2" w:rsidP="00F0433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The FY2 doctor will be responsible for consulting in child development clinics, taking a</w:t>
            </w:r>
            <w:r w:rsidR="00970B30">
              <w:rPr>
                <w:rFonts w:ascii="Arial" w:hAnsi="Arial" w:cs="Arial"/>
                <w:lang w:eastAsia="en-US"/>
              </w:rPr>
              <w:t xml:space="preserve"> detailed developmental history, and history related to behavioural problems, p</w:t>
            </w:r>
            <w:r>
              <w:rPr>
                <w:rFonts w:ascii="Arial" w:hAnsi="Arial" w:cs="Arial"/>
                <w:lang w:eastAsia="en-US"/>
              </w:rPr>
              <w:t>hysical examination and give clear explanation of diagnosis and prescribing treatment.</w:t>
            </w:r>
          </w:p>
          <w:p w:rsidR="00970B30" w:rsidRDefault="00F854B2" w:rsidP="004E7BF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The doctor will have </w:t>
            </w:r>
            <w:r w:rsidR="004E7BF5">
              <w:rPr>
                <w:rFonts w:ascii="Arial" w:hAnsi="Arial" w:cs="Arial"/>
                <w:lang w:eastAsia="en-US"/>
              </w:rPr>
              <w:t xml:space="preserve">the opportunity to observe the </w:t>
            </w:r>
            <w:r w:rsidR="001F42F5">
              <w:rPr>
                <w:rFonts w:ascii="Arial" w:hAnsi="Arial" w:cs="Arial"/>
                <w:lang w:eastAsia="en-US"/>
              </w:rPr>
              <w:t>Consultant in</w:t>
            </w:r>
            <w:r>
              <w:rPr>
                <w:rFonts w:ascii="Arial" w:hAnsi="Arial" w:cs="Arial"/>
                <w:lang w:eastAsia="en-US"/>
              </w:rPr>
              <w:t xml:space="preserve"> Multi-</w:t>
            </w:r>
            <w:r w:rsidR="004E7BF5">
              <w:rPr>
                <w:rFonts w:ascii="Arial" w:hAnsi="Arial" w:cs="Arial"/>
                <w:lang w:eastAsia="en-US"/>
              </w:rPr>
              <w:t>Disciplinary</w:t>
            </w:r>
            <w:r>
              <w:rPr>
                <w:rFonts w:ascii="Arial" w:hAnsi="Arial" w:cs="Arial"/>
                <w:lang w:eastAsia="en-US"/>
              </w:rPr>
              <w:t xml:space="preserve"> clinics including</w:t>
            </w:r>
            <w:r w:rsidR="004E7BF5">
              <w:rPr>
                <w:rFonts w:ascii="Arial" w:hAnsi="Arial" w:cs="Arial"/>
                <w:lang w:eastAsia="en-US"/>
              </w:rPr>
              <w:t xml:space="preserve"> Specialist Autism Spectrum Disorder clinic. </w:t>
            </w:r>
          </w:p>
          <w:p w:rsidR="00970B30" w:rsidRDefault="004E7BF5" w:rsidP="004E7BF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They will have the opportunity to take place in observational assessments to rule out </w:t>
            </w:r>
            <w:r w:rsidR="00970B30">
              <w:rPr>
                <w:rFonts w:ascii="Arial" w:hAnsi="Arial" w:cs="Arial"/>
                <w:lang w:eastAsia="en-US"/>
              </w:rPr>
              <w:t xml:space="preserve">or confirm </w:t>
            </w:r>
            <w:r>
              <w:rPr>
                <w:rFonts w:ascii="Arial" w:hAnsi="Arial" w:cs="Arial"/>
                <w:lang w:eastAsia="en-US"/>
              </w:rPr>
              <w:t xml:space="preserve">Autism Spectrum Disorder.  </w:t>
            </w:r>
          </w:p>
          <w:p w:rsidR="00B14BFC" w:rsidRDefault="004E7BF5" w:rsidP="004E7BF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The doctor will be responsible for carrying one audit in the department.</w:t>
            </w:r>
            <w:r w:rsidR="00AC1713">
              <w:rPr>
                <w:rFonts w:ascii="Arial" w:hAnsi="Arial" w:cs="Arial"/>
                <w:lang w:eastAsia="en-US"/>
              </w:rPr>
              <w:t xml:space="preserve"> They will be doing acute medical on call in rotation during working time. The placement will be divided in 3 days in community and 2 days in hospital.</w:t>
            </w:r>
          </w:p>
        </w:tc>
      </w:tr>
      <w:tr w:rsidR="00B14BFC" w:rsidTr="00AC4366">
        <w:tc>
          <w:tcPr>
            <w:tcW w:w="4618" w:type="dxa"/>
          </w:tcPr>
          <w:p w:rsidR="00B14BFC" w:rsidRDefault="00B14BFC" w:rsidP="00F0433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Where the placement is based</w:t>
            </w:r>
          </w:p>
        </w:tc>
        <w:tc>
          <w:tcPr>
            <w:tcW w:w="4624" w:type="dxa"/>
          </w:tcPr>
          <w:p w:rsidR="00B14BFC" w:rsidRPr="004E7BF5" w:rsidRDefault="004E7BF5" w:rsidP="00F0433D">
            <w:pPr>
              <w:pStyle w:val="Default"/>
              <w:spacing w:line="276" w:lineRule="auto"/>
              <w:rPr>
                <w:rFonts w:ascii="Arial" w:hAnsi="Arial" w:cs="Arial"/>
                <w:lang w:eastAsia="en-US"/>
              </w:rPr>
            </w:pPr>
            <w:r w:rsidRPr="004E7BF5">
              <w:rPr>
                <w:rFonts w:ascii="Arial" w:hAnsi="Arial" w:cs="Arial"/>
                <w:lang w:eastAsia="en-US"/>
              </w:rPr>
              <w:t>Brentwood Community Hospital</w:t>
            </w:r>
          </w:p>
          <w:p w:rsidR="004E7BF5" w:rsidRPr="004E7BF5" w:rsidRDefault="004E7BF5" w:rsidP="00F0433D">
            <w:pPr>
              <w:pStyle w:val="Default"/>
              <w:spacing w:line="276" w:lineRule="auto"/>
              <w:rPr>
                <w:rFonts w:ascii="Arial" w:hAnsi="Arial" w:cs="Arial"/>
                <w:lang w:eastAsia="en-US"/>
              </w:rPr>
            </w:pPr>
            <w:r w:rsidRPr="004E7BF5">
              <w:rPr>
                <w:rFonts w:ascii="Arial" w:hAnsi="Arial" w:cs="Arial"/>
                <w:lang w:eastAsia="en-US"/>
              </w:rPr>
              <w:t>Crescent Drive</w:t>
            </w:r>
          </w:p>
          <w:p w:rsidR="004E7BF5" w:rsidRPr="004E7BF5" w:rsidRDefault="004E7BF5" w:rsidP="00F0433D">
            <w:pPr>
              <w:pStyle w:val="Default"/>
              <w:spacing w:line="276" w:lineRule="auto"/>
              <w:rPr>
                <w:rFonts w:ascii="Arial" w:hAnsi="Arial" w:cs="Arial"/>
                <w:lang w:eastAsia="en-US"/>
              </w:rPr>
            </w:pPr>
            <w:r w:rsidRPr="004E7BF5">
              <w:rPr>
                <w:rFonts w:ascii="Arial" w:hAnsi="Arial" w:cs="Arial"/>
                <w:lang w:eastAsia="en-US"/>
              </w:rPr>
              <w:t>Brentwood</w:t>
            </w:r>
          </w:p>
          <w:p w:rsidR="004E7BF5" w:rsidRDefault="004E7BF5" w:rsidP="00F0433D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E7BF5">
              <w:rPr>
                <w:rFonts w:ascii="Arial" w:hAnsi="Arial" w:cs="Arial"/>
                <w:lang w:eastAsia="en-US"/>
              </w:rPr>
              <w:t>Essex CM15 8DR</w:t>
            </w:r>
          </w:p>
        </w:tc>
      </w:tr>
      <w:tr w:rsidR="00B14BFC" w:rsidTr="00AC4366">
        <w:tc>
          <w:tcPr>
            <w:tcW w:w="4618" w:type="dxa"/>
          </w:tcPr>
          <w:p w:rsidR="00B14BFC" w:rsidRDefault="00B14BFC" w:rsidP="00F0433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Typical working pattern </w:t>
            </w:r>
          </w:p>
        </w:tc>
        <w:tc>
          <w:tcPr>
            <w:tcW w:w="4624" w:type="dxa"/>
          </w:tcPr>
          <w:p w:rsidR="00B14BFC" w:rsidRPr="004E7BF5" w:rsidRDefault="00B14BFC" w:rsidP="00F0433D">
            <w:pPr>
              <w:pStyle w:val="Default"/>
              <w:spacing w:line="276" w:lineRule="auto"/>
              <w:rPr>
                <w:rFonts w:ascii="Arial" w:hAnsi="Arial" w:cs="Arial"/>
                <w:lang w:eastAsia="en-US"/>
              </w:rPr>
            </w:pPr>
            <w:r w:rsidRPr="004E7BF5">
              <w:rPr>
                <w:rFonts w:ascii="Arial" w:hAnsi="Arial" w:cs="Arial"/>
                <w:lang w:eastAsia="en-US"/>
              </w:rPr>
              <w:t>9 am – 5 pm</w:t>
            </w:r>
            <w:r w:rsidR="004E7BF5" w:rsidRPr="004E7BF5">
              <w:rPr>
                <w:rFonts w:ascii="Arial" w:hAnsi="Arial" w:cs="Arial"/>
                <w:lang w:eastAsia="en-US"/>
              </w:rPr>
              <w:t xml:space="preserve"> normal working day (Mon – Fri</w:t>
            </w:r>
            <w:r w:rsidRPr="004E7BF5">
              <w:rPr>
                <w:rFonts w:ascii="Arial" w:hAnsi="Arial" w:cs="Arial"/>
                <w:lang w:eastAsia="en-US"/>
              </w:rPr>
              <w:t>)</w:t>
            </w:r>
          </w:p>
          <w:p w:rsidR="00B14BFC" w:rsidRPr="004E7BF5" w:rsidRDefault="00B14BFC" w:rsidP="00F0433D">
            <w:pPr>
              <w:pStyle w:val="Default"/>
              <w:spacing w:line="276" w:lineRule="auto"/>
              <w:rPr>
                <w:rFonts w:ascii="Arial" w:hAnsi="Arial" w:cs="Arial"/>
                <w:lang w:eastAsia="en-US"/>
              </w:rPr>
            </w:pPr>
            <w:r w:rsidRPr="004E7BF5">
              <w:rPr>
                <w:rFonts w:ascii="Arial" w:hAnsi="Arial" w:cs="Arial"/>
                <w:lang w:eastAsia="en-US"/>
              </w:rPr>
              <w:t xml:space="preserve">There is no on call </w:t>
            </w:r>
          </w:p>
        </w:tc>
      </w:tr>
      <w:tr w:rsidR="00B14BFC" w:rsidTr="00AC4366">
        <w:tc>
          <w:tcPr>
            <w:tcW w:w="4618" w:type="dxa"/>
          </w:tcPr>
          <w:p w:rsidR="00B14BFC" w:rsidRDefault="00B14BFC" w:rsidP="00F0433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Clinical Supervisors</w:t>
            </w:r>
          </w:p>
        </w:tc>
        <w:tc>
          <w:tcPr>
            <w:tcW w:w="4624" w:type="dxa"/>
          </w:tcPr>
          <w:p w:rsidR="00B14BFC" w:rsidRDefault="004E7BF5" w:rsidP="00F0433D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  <w:r>
              <w:rPr>
                <w:rFonts w:ascii="Arial" w:hAnsi="Arial" w:cs="Arial"/>
                <w:lang w:val="it-IT" w:eastAsia="en-US"/>
              </w:rPr>
              <w:t>Dr S Jayakumar</w:t>
            </w:r>
          </w:p>
        </w:tc>
      </w:tr>
      <w:tr w:rsidR="00B14BFC" w:rsidTr="00AC4366">
        <w:tc>
          <w:tcPr>
            <w:tcW w:w="4618" w:type="dxa"/>
          </w:tcPr>
          <w:p w:rsidR="00B14BFC" w:rsidRDefault="00B14BFC" w:rsidP="00F0433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Employer Information</w:t>
            </w:r>
          </w:p>
        </w:tc>
        <w:tc>
          <w:tcPr>
            <w:tcW w:w="4624" w:type="dxa"/>
          </w:tcPr>
          <w:p w:rsidR="00B14BFC" w:rsidRDefault="00B14BFC" w:rsidP="00F0433D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The employer for this post is North East London NHS Foundation Trust.</w:t>
            </w:r>
          </w:p>
        </w:tc>
      </w:tr>
    </w:tbl>
    <w:p w:rsidR="00B14BFC" w:rsidRDefault="00B14BFC" w:rsidP="00AC43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important to note that this description is a typical example of your placement and may be subject to change.</w:t>
      </w:r>
    </w:p>
    <w:p w:rsidR="00A85EAC" w:rsidRDefault="00A85EAC" w:rsidP="00B859AF">
      <w:pPr>
        <w:rPr>
          <w:rFonts w:ascii="Arial" w:hAnsi="Arial" w:cs="Arial"/>
          <w:b/>
          <w:szCs w:val="22"/>
        </w:rPr>
      </w:pPr>
      <w:bookmarkStart w:id="0" w:name="_GoBack"/>
      <w:bookmarkEnd w:id="0"/>
    </w:p>
    <w:p w:rsidR="00AF0B02" w:rsidRPr="00281E57" w:rsidRDefault="00132668" w:rsidP="00AF0B02">
      <w:pPr>
        <w:spacing w:after="20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 xml:space="preserve">Provisional </w:t>
      </w:r>
      <w:r w:rsidR="00AF0B02" w:rsidRPr="00281E57">
        <w:rPr>
          <w:rFonts w:ascii="Arial" w:hAnsi="Arial" w:cs="Arial"/>
          <w:b/>
          <w:szCs w:val="22"/>
        </w:rPr>
        <w:t xml:space="preserve">Trainee timetable </w:t>
      </w: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879"/>
        <w:gridCol w:w="1843"/>
        <w:gridCol w:w="1843"/>
        <w:gridCol w:w="1842"/>
        <w:gridCol w:w="1850"/>
      </w:tblGrid>
      <w:tr w:rsidR="00AF0B02" w:rsidRPr="00281E57" w:rsidTr="004813BF">
        <w:trPr>
          <w:trHeight w:val="304"/>
          <w:jc w:val="center"/>
        </w:trPr>
        <w:tc>
          <w:tcPr>
            <w:tcW w:w="1851" w:type="dxa"/>
          </w:tcPr>
          <w:p w:rsidR="00AF0B02" w:rsidRPr="00281E57" w:rsidRDefault="00AF0B02" w:rsidP="00AF0B0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 w:rsidRPr="00281E57">
              <w:rPr>
                <w:rFonts w:ascii="Arial" w:hAnsi="Arial" w:cs="Arial"/>
                <w:sz w:val="22"/>
                <w:szCs w:val="22"/>
              </w:rPr>
              <w:t>Monday AM</w:t>
            </w:r>
          </w:p>
        </w:tc>
        <w:tc>
          <w:tcPr>
            <w:tcW w:w="1851" w:type="dxa"/>
          </w:tcPr>
          <w:p w:rsidR="00AF0B02" w:rsidRPr="00281E57" w:rsidRDefault="00AF0B02" w:rsidP="00AF0B0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 AM</w:t>
            </w:r>
          </w:p>
        </w:tc>
        <w:tc>
          <w:tcPr>
            <w:tcW w:w="1851" w:type="dxa"/>
          </w:tcPr>
          <w:p w:rsidR="00AF0B02" w:rsidRPr="00281E57" w:rsidRDefault="00AF0B02" w:rsidP="00AF0B0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 AM</w:t>
            </w:r>
          </w:p>
        </w:tc>
        <w:tc>
          <w:tcPr>
            <w:tcW w:w="1852" w:type="dxa"/>
          </w:tcPr>
          <w:p w:rsidR="00AF0B02" w:rsidRPr="00281E57" w:rsidRDefault="00AF0B02" w:rsidP="00AF0B0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 AM</w:t>
            </w:r>
          </w:p>
        </w:tc>
        <w:tc>
          <w:tcPr>
            <w:tcW w:w="1852" w:type="dxa"/>
          </w:tcPr>
          <w:p w:rsidR="00AF0B02" w:rsidRPr="00281E57" w:rsidRDefault="00AF0B02" w:rsidP="00AF0B0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 AM</w:t>
            </w:r>
          </w:p>
        </w:tc>
      </w:tr>
      <w:tr w:rsidR="00AF0B02" w:rsidRPr="00281E57" w:rsidTr="004813BF">
        <w:trPr>
          <w:trHeight w:val="1227"/>
          <w:jc w:val="center"/>
        </w:trPr>
        <w:tc>
          <w:tcPr>
            <w:tcW w:w="1851" w:type="dxa"/>
          </w:tcPr>
          <w:p w:rsidR="00AF0B02" w:rsidRPr="00281E57" w:rsidRDefault="009D478B" w:rsidP="00AF0B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MDT Work</w:t>
            </w:r>
          </w:p>
        </w:tc>
        <w:tc>
          <w:tcPr>
            <w:tcW w:w="1851" w:type="dxa"/>
          </w:tcPr>
          <w:p w:rsidR="00AF0B02" w:rsidRPr="00281E57" w:rsidRDefault="009D478B" w:rsidP="00AF0B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</w:t>
            </w:r>
          </w:p>
        </w:tc>
        <w:tc>
          <w:tcPr>
            <w:tcW w:w="1851" w:type="dxa"/>
          </w:tcPr>
          <w:p w:rsidR="00AF0B02" w:rsidRPr="00281E57" w:rsidRDefault="009D478B" w:rsidP="00AF0B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</w:t>
            </w:r>
          </w:p>
        </w:tc>
        <w:tc>
          <w:tcPr>
            <w:tcW w:w="1852" w:type="dxa"/>
          </w:tcPr>
          <w:p w:rsidR="00AF0B02" w:rsidRPr="00281E57" w:rsidRDefault="009D478B" w:rsidP="00AF0B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</w:t>
            </w:r>
          </w:p>
        </w:tc>
        <w:tc>
          <w:tcPr>
            <w:tcW w:w="1852" w:type="dxa"/>
          </w:tcPr>
          <w:p w:rsidR="00AF0B02" w:rsidRPr="00281E57" w:rsidRDefault="009D478B" w:rsidP="00AF0B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Therapy sessions</w:t>
            </w:r>
          </w:p>
        </w:tc>
      </w:tr>
      <w:tr w:rsidR="00AF0B02" w:rsidRPr="00281E57" w:rsidTr="004813BF">
        <w:trPr>
          <w:trHeight w:val="313"/>
          <w:jc w:val="center"/>
        </w:trPr>
        <w:tc>
          <w:tcPr>
            <w:tcW w:w="1851" w:type="dxa"/>
          </w:tcPr>
          <w:p w:rsidR="00AF0B02" w:rsidRPr="00281E57" w:rsidRDefault="00AF0B02" w:rsidP="00AF0B0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Monday PM </w:t>
            </w:r>
          </w:p>
        </w:tc>
        <w:tc>
          <w:tcPr>
            <w:tcW w:w="1851" w:type="dxa"/>
          </w:tcPr>
          <w:p w:rsidR="00AF0B02" w:rsidRPr="00281E57" w:rsidRDefault="00AF0B02" w:rsidP="00AF0B0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Tuesday PM</w:t>
            </w:r>
          </w:p>
        </w:tc>
        <w:tc>
          <w:tcPr>
            <w:tcW w:w="1851" w:type="dxa"/>
          </w:tcPr>
          <w:p w:rsidR="00AF0B02" w:rsidRPr="00281E57" w:rsidRDefault="00AF0B02" w:rsidP="00AF0B0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 PM</w:t>
            </w:r>
          </w:p>
        </w:tc>
        <w:tc>
          <w:tcPr>
            <w:tcW w:w="1852" w:type="dxa"/>
          </w:tcPr>
          <w:p w:rsidR="00AF0B02" w:rsidRPr="00281E57" w:rsidRDefault="00AF0B02" w:rsidP="00AF0B0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Thursday PM</w:t>
            </w:r>
          </w:p>
        </w:tc>
        <w:tc>
          <w:tcPr>
            <w:tcW w:w="1852" w:type="dxa"/>
          </w:tcPr>
          <w:p w:rsidR="00AF0B02" w:rsidRPr="00281E57" w:rsidRDefault="00AF0B02" w:rsidP="00AF0B0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 PM</w:t>
            </w:r>
          </w:p>
        </w:tc>
      </w:tr>
      <w:tr w:rsidR="00AF0B02" w:rsidRPr="00281E57" w:rsidTr="004813BF">
        <w:trPr>
          <w:trHeight w:val="1227"/>
          <w:jc w:val="center"/>
        </w:trPr>
        <w:tc>
          <w:tcPr>
            <w:tcW w:w="1851" w:type="dxa"/>
          </w:tcPr>
          <w:p w:rsidR="00AF0B02" w:rsidRPr="00281E57" w:rsidRDefault="009D478B" w:rsidP="004813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Audit Research</w:t>
            </w:r>
          </w:p>
        </w:tc>
        <w:tc>
          <w:tcPr>
            <w:tcW w:w="1851" w:type="dxa"/>
          </w:tcPr>
          <w:p w:rsidR="00AF0B02" w:rsidRPr="00281E57" w:rsidRDefault="009D478B" w:rsidP="004813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</w:t>
            </w:r>
          </w:p>
        </w:tc>
        <w:tc>
          <w:tcPr>
            <w:tcW w:w="1851" w:type="dxa"/>
          </w:tcPr>
          <w:p w:rsidR="00AF0B02" w:rsidRPr="00281E57" w:rsidRDefault="009D478B" w:rsidP="004813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</w:t>
            </w:r>
          </w:p>
        </w:tc>
        <w:tc>
          <w:tcPr>
            <w:tcW w:w="1852" w:type="dxa"/>
          </w:tcPr>
          <w:p w:rsidR="00AF0B02" w:rsidRPr="00281E57" w:rsidRDefault="00AF0B02" w:rsidP="00AF0B02">
            <w:pPr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noon – 2pm Teaching at BTUH</w:t>
            </w:r>
          </w:p>
        </w:tc>
        <w:tc>
          <w:tcPr>
            <w:tcW w:w="1852" w:type="dxa"/>
          </w:tcPr>
          <w:p w:rsidR="00AF0B02" w:rsidRPr="00281E57" w:rsidRDefault="009D478B" w:rsidP="004813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</w:t>
            </w:r>
          </w:p>
        </w:tc>
      </w:tr>
    </w:tbl>
    <w:p w:rsidR="00AF0B02" w:rsidRDefault="00AF0B02" w:rsidP="00AF0B02">
      <w:pPr>
        <w:rPr>
          <w:rFonts w:ascii="Arial" w:hAnsi="Arial" w:cs="Arial"/>
          <w:sz w:val="20"/>
          <w:szCs w:val="20"/>
        </w:rPr>
      </w:pPr>
    </w:p>
    <w:sectPr w:rsidR="00AF0B02" w:rsidSect="00250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B5D55"/>
    <w:multiLevelType w:val="hybridMultilevel"/>
    <w:tmpl w:val="6F0CC0D0"/>
    <w:lvl w:ilvl="0" w:tplc="B9C2DF42"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536938D0"/>
    <w:multiLevelType w:val="hybridMultilevel"/>
    <w:tmpl w:val="F7169A8A"/>
    <w:lvl w:ilvl="0" w:tplc="4D66A2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66"/>
    <w:rsid w:val="000458B9"/>
    <w:rsid w:val="000C21B3"/>
    <w:rsid w:val="001202A4"/>
    <w:rsid w:val="00132668"/>
    <w:rsid w:val="001F42F5"/>
    <w:rsid w:val="0020450B"/>
    <w:rsid w:val="002502C8"/>
    <w:rsid w:val="002651DC"/>
    <w:rsid w:val="002B695B"/>
    <w:rsid w:val="002C3404"/>
    <w:rsid w:val="002F5CB2"/>
    <w:rsid w:val="0032001E"/>
    <w:rsid w:val="00465D66"/>
    <w:rsid w:val="004E7BF5"/>
    <w:rsid w:val="00500158"/>
    <w:rsid w:val="00503842"/>
    <w:rsid w:val="005919E1"/>
    <w:rsid w:val="005E3583"/>
    <w:rsid w:val="00644FBF"/>
    <w:rsid w:val="0066515D"/>
    <w:rsid w:val="00717404"/>
    <w:rsid w:val="00824563"/>
    <w:rsid w:val="008576AB"/>
    <w:rsid w:val="00970B30"/>
    <w:rsid w:val="00991817"/>
    <w:rsid w:val="009A62D6"/>
    <w:rsid w:val="009B10A9"/>
    <w:rsid w:val="009D478B"/>
    <w:rsid w:val="009F57ED"/>
    <w:rsid w:val="00A85EAC"/>
    <w:rsid w:val="00AC1713"/>
    <w:rsid w:val="00AC4366"/>
    <w:rsid w:val="00AF0B02"/>
    <w:rsid w:val="00B14BFC"/>
    <w:rsid w:val="00B859AF"/>
    <w:rsid w:val="00C772BC"/>
    <w:rsid w:val="00CC2120"/>
    <w:rsid w:val="00CC33F1"/>
    <w:rsid w:val="00D56F6F"/>
    <w:rsid w:val="00DB2254"/>
    <w:rsid w:val="00DF7502"/>
    <w:rsid w:val="00EB1B45"/>
    <w:rsid w:val="00F0433D"/>
    <w:rsid w:val="00F84734"/>
    <w:rsid w:val="00F854B2"/>
    <w:rsid w:val="00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366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C4366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F847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57"/>
    <w:rPr>
      <w:rFonts w:ascii="Times New Roman" w:eastAsia="Times New Roman" w:hAnsi="Times New Roman"/>
      <w:sz w:val="0"/>
      <w:szCs w:val="0"/>
      <w:lang w:val="en-GB" w:eastAsia="en-GB"/>
    </w:rPr>
  </w:style>
  <w:style w:type="paragraph" w:styleId="ListParagraph">
    <w:name w:val="List Paragraph"/>
    <w:basedOn w:val="Normal"/>
    <w:uiPriority w:val="34"/>
    <w:qFormat/>
    <w:rsid w:val="00717404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AF0B02"/>
    <w:pPr>
      <w:ind w:left="720"/>
    </w:pPr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366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C4366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F847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57"/>
    <w:rPr>
      <w:rFonts w:ascii="Times New Roman" w:eastAsia="Times New Roman" w:hAnsi="Times New Roman"/>
      <w:sz w:val="0"/>
      <w:szCs w:val="0"/>
      <w:lang w:val="en-GB" w:eastAsia="en-GB"/>
    </w:rPr>
  </w:style>
  <w:style w:type="paragraph" w:styleId="ListParagraph">
    <w:name w:val="List Paragraph"/>
    <w:basedOn w:val="Normal"/>
    <w:uiPriority w:val="34"/>
    <w:qFormat/>
    <w:rsid w:val="00717404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AF0B02"/>
    <w:pPr>
      <w:ind w:left="720"/>
    </w:pPr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London Foundation Trust</vt:lpstr>
    </vt:vector>
  </TitlesOfParts>
  <Company>NELFT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London Foundation Trust</dc:title>
  <dc:creator>Wilkinson Hazel</dc:creator>
  <cp:lastModifiedBy>Wayman, Christine</cp:lastModifiedBy>
  <cp:revision>4</cp:revision>
  <cp:lastPrinted>2015-02-25T10:25:00Z</cp:lastPrinted>
  <dcterms:created xsi:type="dcterms:W3CDTF">2016-05-04T14:14:00Z</dcterms:created>
  <dcterms:modified xsi:type="dcterms:W3CDTF">2017-01-27T07:42:00Z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342359f5-246d-4542-a249-a1760629ea0e</vt:lpwstr>
  </property>
</Properties>
</file>