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CA" w:rsidRDefault="00233DCA" w:rsidP="00233DCA">
      <w:pPr>
        <w:tabs>
          <w:tab w:val="center" w:pos="5040"/>
          <w:tab w:val="right" w:pos="9900"/>
        </w:tabs>
      </w:pPr>
      <w:r>
        <w:t xml:space="preserve"> </w:t>
      </w:r>
      <w:r>
        <w:tab/>
      </w:r>
      <w:r>
        <w:tab/>
      </w:r>
      <w:bookmarkStart w:id="0" w:name="_GoBack"/>
      <w:bookmarkEnd w:id="0"/>
    </w:p>
    <w:p w:rsidR="00233DCA" w:rsidRDefault="00233DCA" w:rsidP="00233DCA">
      <w:pPr>
        <w:jc w:val="center"/>
        <w:rPr>
          <w:rFonts w:cs="Arial"/>
          <w:b/>
          <w:sz w:val="28"/>
          <w:szCs w:val="28"/>
        </w:rPr>
      </w:pPr>
    </w:p>
    <w:p w:rsidR="00233DCA" w:rsidRDefault="00233DCA" w:rsidP="00233DCA">
      <w:pPr>
        <w:jc w:val="center"/>
        <w:rPr>
          <w:rFonts w:cs="Arial"/>
          <w:b/>
          <w:sz w:val="28"/>
          <w:szCs w:val="28"/>
        </w:rPr>
      </w:pPr>
      <w:r>
        <w:rPr>
          <w:rFonts w:cs="Arial"/>
          <w:b/>
          <w:sz w:val="28"/>
          <w:szCs w:val="28"/>
        </w:rPr>
        <w:t>East Anglia Foundation School</w:t>
      </w:r>
    </w:p>
    <w:p w:rsidR="00233DCA" w:rsidRDefault="00233DCA" w:rsidP="00233DCA">
      <w:pPr>
        <w:jc w:val="center"/>
        <w:rPr>
          <w:rFonts w:cs="Arial"/>
          <w:b/>
          <w:sz w:val="28"/>
          <w:szCs w:val="28"/>
        </w:rPr>
      </w:pPr>
      <w:r>
        <w:rPr>
          <w:rFonts w:cs="Arial"/>
          <w:b/>
          <w:sz w:val="28"/>
          <w:szCs w:val="28"/>
        </w:rPr>
        <w:t xml:space="preserve">Individual Placement Description </w:t>
      </w:r>
    </w:p>
    <w:p w:rsidR="00233DCA" w:rsidRDefault="00233DCA" w:rsidP="00233DCA">
      <w:pPr>
        <w:jc w:val="center"/>
        <w:rPr>
          <w:rFonts w:cs="Arial"/>
          <w:b/>
          <w:sz w:val="28"/>
          <w:szCs w:val="28"/>
        </w:rPr>
      </w:pPr>
    </w:p>
    <w:p w:rsidR="00233DCA" w:rsidRDefault="00233DCA" w:rsidP="00233DCA">
      <w:pPr>
        <w:jc w:val="center"/>
        <w:rPr>
          <w:rFonts w:cs="Arial"/>
          <w:b/>
          <w:sz w:val="28"/>
          <w:szCs w:val="28"/>
        </w:rPr>
      </w:pPr>
      <w:r>
        <w:rPr>
          <w:rFonts w:cs="Arial"/>
          <w:b/>
          <w:sz w:val="28"/>
          <w:szCs w:val="28"/>
        </w:rPr>
        <w:t>Norfolk and Norwich University Hospital NHS Foundation Trust</w:t>
      </w:r>
    </w:p>
    <w:p w:rsidR="00233DCA" w:rsidRDefault="00233DCA" w:rsidP="00233DCA">
      <w:pPr>
        <w:rPr>
          <w:rFonts w:cs="Arial"/>
          <w:b/>
          <w:sz w:val="22"/>
          <w:szCs w:val="22"/>
        </w:rPr>
      </w:pPr>
    </w:p>
    <w:p w:rsidR="00233DCA" w:rsidRDefault="00233DCA" w:rsidP="00233DCA">
      <w:pPr>
        <w:rPr>
          <w:rFonts w:cs="Arial"/>
          <w:sz w:val="22"/>
          <w:szCs w:val="22"/>
        </w:rPr>
      </w:pPr>
      <w:proofErr w:type="gramStart"/>
      <w:r>
        <w:rPr>
          <w:rFonts w:cs="Arial"/>
          <w:sz w:val="22"/>
          <w:szCs w:val="22"/>
        </w:rPr>
        <w:t>All information to be completed by the Foundation School.</w:t>
      </w:r>
      <w:proofErr w:type="gramEnd"/>
    </w:p>
    <w:p w:rsidR="00233DCA" w:rsidRDefault="00233DCA" w:rsidP="00233DCA">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r>
              <w:rPr>
                <w:rFonts w:cs="Arial"/>
                <w:sz w:val="20"/>
                <w:szCs w:val="20"/>
              </w:rPr>
              <w:t xml:space="preserve">Foundation House Officer  </w:t>
            </w:r>
          </w:p>
          <w:p w:rsidR="00233DCA" w:rsidRDefault="00233DCA">
            <w:pPr>
              <w:ind w:left="540" w:hanging="540"/>
              <w:jc w:val="both"/>
              <w:rPr>
                <w:rFonts w:cs="Arial"/>
                <w:color w:val="000000"/>
                <w:sz w:val="20"/>
                <w:szCs w:val="20"/>
              </w:rPr>
            </w:pPr>
            <w:r>
              <w:rPr>
                <w:rFonts w:cs="Arial"/>
                <w:color w:val="000000"/>
                <w:sz w:val="20"/>
                <w:szCs w:val="20"/>
              </w:rPr>
              <w:t>Emergency Medicine</w:t>
            </w:r>
          </w:p>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tabs>
                <w:tab w:val="left" w:pos="-720"/>
              </w:tabs>
              <w:suppressAutoHyphens/>
              <w:jc w:val="both"/>
              <w:rPr>
                <w:rFonts w:eastAsia="Arial Unicode MS" w:cs="Arial"/>
                <w:sz w:val="20"/>
                <w:szCs w:val="20"/>
                <w:lang w:val="en-US" w:eastAsia="en-US"/>
              </w:rPr>
            </w:pPr>
            <w:r>
              <w:rPr>
                <w:rFonts w:eastAsia="Arial Unicode MS" w:cs="Arial"/>
                <w:sz w:val="20"/>
                <w:szCs w:val="20"/>
              </w:rPr>
              <w:t>The department has a medical staff complement as follows:-</w:t>
            </w:r>
          </w:p>
          <w:p w:rsidR="00233DCA" w:rsidRDefault="00233DCA">
            <w:pPr>
              <w:tabs>
                <w:tab w:val="left" w:pos="-720"/>
              </w:tabs>
              <w:suppressAutoHyphens/>
              <w:jc w:val="both"/>
              <w:rPr>
                <w:rFonts w:eastAsia="Calibri" w:cs="Arial"/>
                <w:color w:val="000000"/>
                <w:spacing w:val="-3"/>
                <w:sz w:val="20"/>
                <w:szCs w:val="20"/>
              </w:rPr>
            </w:pP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7 Consultants</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7 Staff Grades/Specialty Doctor</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1 Senior Clinical Fellow</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 xml:space="preserve">5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 xml:space="preserve">2 ACCS posts, 4 GPTVS posts, 2 CMT (medical) posts, 2 </w:t>
            </w:r>
            <w:r>
              <w:rPr>
                <w:rFonts w:cs="Arial"/>
                <w:sz w:val="20"/>
                <w:szCs w:val="20"/>
              </w:rPr>
              <w:t>Foundation House Officer posts</w:t>
            </w:r>
          </w:p>
          <w:p w:rsidR="00233DCA" w:rsidRDefault="00233DCA">
            <w:pPr>
              <w:tabs>
                <w:tab w:val="left" w:pos="3600"/>
                <w:tab w:val="right" w:pos="3780"/>
                <w:tab w:val="right" w:pos="6660"/>
                <w:tab w:val="left" w:pos="6840"/>
              </w:tabs>
              <w:suppressAutoHyphens/>
              <w:ind w:left="539"/>
              <w:jc w:val="both"/>
              <w:rPr>
                <w:rFonts w:cs="Arial"/>
                <w:color w:val="000000"/>
                <w:spacing w:val="-3"/>
                <w:sz w:val="20"/>
                <w:szCs w:val="20"/>
              </w:rPr>
            </w:pPr>
            <w:r>
              <w:rPr>
                <w:rFonts w:cs="Arial"/>
                <w:color w:val="000000"/>
                <w:spacing w:val="-3"/>
                <w:sz w:val="20"/>
                <w:szCs w:val="20"/>
              </w:rPr>
              <w:tab/>
              <w:t xml:space="preserve"> </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 xml:space="preserve">The ED department sees approximately 75,000 patients per annum with. There are designated areas for minor and major patients and for paediatric patients.  There is a 6 bay state of the art resuscitation room. The department has additional rooms used flexibly for clinics and procedures such as fracture manipulation and plastering. There is a dedicated X-ray unit.  All imaging is digital. The CT and MRI suite is adjacent to the department. </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 xml:space="preserve"> </w:t>
            </w: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The case load comprises approximately 65% surgery/trauma, 35% medicine.  The more critical and ill patients tend to be medical.  Approximately 25% of the cases are children of 16 years and under.</w:t>
            </w:r>
          </w:p>
          <w:p w:rsidR="00233DCA" w:rsidRDefault="00233DCA">
            <w:pPr>
              <w:tabs>
                <w:tab w:val="left" w:pos="-720"/>
              </w:tabs>
              <w:suppressAutoHyphens/>
              <w:jc w:val="both"/>
              <w:rPr>
                <w:rFonts w:cs="Arial"/>
                <w:color w:val="000000"/>
                <w:spacing w:val="-3"/>
                <w:sz w:val="20"/>
                <w:szCs w:val="20"/>
              </w:rPr>
            </w:pP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 xml:space="preserve">The department has an active teaching programme for medical students from the University of East Anglia.  During induction course BLS training is provided and all </w:t>
            </w:r>
            <w:r>
              <w:rPr>
                <w:rFonts w:cs="Arial"/>
                <w:spacing w:val="-3"/>
                <w:sz w:val="20"/>
                <w:szCs w:val="20"/>
              </w:rPr>
              <w:t xml:space="preserve">FY2, GPTVS, CT1 or 2 </w:t>
            </w:r>
            <w:r>
              <w:rPr>
                <w:rFonts w:cs="Arial"/>
                <w:color w:val="000000"/>
                <w:spacing w:val="-3"/>
                <w:sz w:val="20"/>
                <w:szCs w:val="20"/>
              </w:rPr>
              <w:t xml:space="preserve">s must have a valid BLS certificate before study leave can be requested.   Thereafter </w:t>
            </w:r>
            <w:r>
              <w:rPr>
                <w:rFonts w:cs="Arial"/>
                <w:spacing w:val="-3"/>
                <w:sz w:val="20"/>
                <w:szCs w:val="20"/>
              </w:rPr>
              <w:t xml:space="preserve">FY2, GPTVS, CT1 or 2 </w:t>
            </w:r>
            <w:r>
              <w:rPr>
                <w:rFonts w:cs="Arial"/>
                <w:color w:val="000000"/>
                <w:spacing w:val="-3"/>
                <w:sz w:val="20"/>
                <w:szCs w:val="20"/>
              </w:rPr>
              <w:t xml:space="preserve">s receive weekly tutorials during protected time. Training consists of lectures and hands-on work using a </w:t>
            </w:r>
            <w:proofErr w:type="spellStart"/>
            <w:r>
              <w:rPr>
                <w:rFonts w:cs="Arial"/>
                <w:color w:val="000000"/>
                <w:spacing w:val="-3"/>
                <w:sz w:val="20"/>
                <w:szCs w:val="20"/>
              </w:rPr>
              <w:t>Sim</w:t>
            </w:r>
            <w:proofErr w:type="spellEnd"/>
            <w:r>
              <w:rPr>
                <w:rFonts w:cs="Arial"/>
                <w:color w:val="000000"/>
                <w:spacing w:val="-3"/>
                <w:sz w:val="20"/>
                <w:szCs w:val="20"/>
              </w:rPr>
              <w:t xml:space="preserve">-Man simulator. </w:t>
            </w:r>
          </w:p>
          <w:p w:rsidR="00233DCA" w:rsidRDefault="00233DCA">
            <w:pPr>
              <w:tabs>
                <w:tab w:val="left" w:pos="-720"/>
              </w:tabs>
              <w:suppressAutoHyphens/>
              <w:jc w:val="both"/>
              <w:rPr>
                <w:rFonts w:cs="Arial"/>
                <w:color w:val="000000"/>
                <w:spacing w:val="-3"/>
                <w:sz w:val="20"/>
                <w:szCs w:val="20"/>
              </w:rPr>
            </w:pPr>
          </w:p>
          <w:p w:rsidR="00233DCA" w:rsidRDefault="00233DCA">
            <w:pPr>
              <w:tabs>
                <w:tab w:val="left" w:pos="-720"/>
              </w:tabs>
              <w:suppressAutoHyphens/>
              <w:jc w:val="both"/>
              <w:rPr>
                <w:rFonts w:cs="Arial"/>
                <w:sz w:val="20"/>
                <w:szCs w:val="20"/>
              </w:rPr>
            </w:pPr>
            <w:r>
              <w:rPr>
                <w:rFonts w:cs="Arial"/>
                <w:sz w:val="20"/>
                <w:szCs w:val="20"/>
              </w:rPr>
              <w:t>There is a 24-hr Middle grade cover on the shop floor in the Department and extended consultant supervision throughout the week from 09:00-midnight. In addition the consultants work in the Department from 14:00-20:00 at the weekends.</w:t>
            </w:r>
          </w:p>
          <w:p w:rsidR="00233DCA" w:rsidRDefault="00233DCA">
            <w:pPr>
              <w:tabs>
                <w:tab w:val="left" w:pos="-720"/>
              </w:tabs>
              <w:suppressAutoHyphens/>
              <w:jc w:val="both"/>
              <w:rPr>
                <w:rFonts w:cs="Arial"/>
                <w:sz w:val="20"/>
                <w:szCs w:val="20"/>
              </w:rPr>
            </w:pPr>
          </w:p>
          <w:p w:rsidR="00233DCA" w:rsidRDefault="00233DCA">
            <w:pPr>
              <w:tabs>
                <w:tab w:val="left" w:pos="-720"/>
              </w:tabs>
              <w:suppressAutoHyphens/>
              <w:jc w:val="both"/>
              <w:rPr>
                <w:rFonts w:cs="Arial"/>
                <w:color w:val="000000"/>
                <w:spacing w:val="-3"/>
                <w:sz w:val="20"/>
                <w:szCs w:val="20"/>
              </w:rPr>
            </w:pPr>
            <w:r>
              <w:rPr>
                <w:rFonts w:cs="Arial"/>
                <w:color w:val="000000"/>
                <w:spacing w:val="-3"/>
                <w:sz w:val="20"/>
                <w:szCs w:val="20"/>
              </w:rPr>
              <w:t xml:space="preserve">In general the department is friendly and the senior </w:t>
            </w:r>
            <w:proofErr w:type="gramStart"/>
            <w:r>
              <w:rPr>
                <w:rFonts w:cs="Arial"/>
                <w:color w:val="000000"/>
                <w:spacing w:val="-3"/>
                <w:sz w:val="20"/>
                <w:szCs w:val="20"/>
              </w:rPr>
              <w:t>staff are</w:t>
            </w:r>
            <w:proofErr w:type="gramEnd"/>
            <w:r>
              <w:rPr>
                <w:rFonts w:cs="Arial"/>
                <w:color w:val="000000"/>
                <w:spacing w:val="-3"/>
                <w:sz w:val="20"/>
                <w:szCs w:val="20"/>
              </w:rPr>
              <w:t xml:space="preserve"> supportive, taking an active role in training and supervision of the </w:t>
            </w:r>
            <w:r>
              <w:rPr>
                <w:rFonts w:cs="Arial"/>
                <w:spacing w:val="-3"/>
                <w:sz w:val="20"/>
                <w:szCs w:val="20"/>
              </w:rPr>
              <w:t xml:space="preserve">FY2, GPTVS, ST1 or 2 </w:t>
            </w:r>
            <w:r>
              <w:rPr>
                <w:rFonts w:cs="Arial"/>
                <w:color w:val="000000"/>
                <w:spacing w:val="-3"/>
                <w:sz w:val="20"/>
                <w:szCs w:val="20"/>
              </w:rPr>
              <w:t>s. In addition the consultants and specialist registrars are always happy to offer career advice and guidance, including assistance with CV preparation and interview techniques.</w:t>
            </w:r>
          </w:p>
          <w:p w:rsidR="00233DCA" w:rsidRDefault="00233DCA">
            <w:pPr>
              <w:tabs>
                <w:tab w:val="left" w:pos="-720"/>
              </w:tabs>
              <w:suppressAutoHyphens/>
              <w:jc w:val="both"/>
              <w:rPr>
                <w:rFonts w:cs="Arial"/>
                <w:color w:val="000000"/>
                <w:spacing w:val="-3"/>
                <w:sz w:val="20"/>
                <w:szCs w:val="20"/>
              </w:rPr>
            </w:pPr>
          </w:p>
          <w:p w:rsidR="00233DCA" w:rsidRDefault="00233DCA">
            <w:pPr>
              <w:jc w:val="both"/>
              <w:rPr>
                <w:rFonts w:cs="Arial"/>
                <w:sz w:val="20"/>
                <w:szCs w:val="20"/>
              </w:rPr>
            </w:pPr>
            <w:r>
              <w:rPr>
                <w:rFonts w:cs="Arial"/>
                <w:sz w:val="20"/>
                <w:szCs w:val="20"/>
              </w:rPr>
              <w:t>Post holders will be able to get places at the Life support courses (ATLS ALS) held locally, and support will be given for APLS applications in the region.</w:t>
            </w:r>
          </w:p>
          <w:p w:rsidR="00233DCA" w:rsidRDefault="00233DCA">
            <w:pPr>
              <w:jc w:val="both"/>
              <w:rPr>
                <w:rFonts w:cs="Arial"/>
                <w:sz w:val="20"/>
                <w:szCs w:val="20"/>
              </w:rPr>
            </w:pPr>
            <w:r>
              <w:rPr>
                <w:rFonts w:cs="Arial"/>
                <w:sz w:val="20"/>
                <w:szCs w:val="20"/>
              </w:rPr>
              <w:lastRenderedPageBreak/>
              <w:t>There is an active Postgraduate Centre, with a library.  All trainees have access to the hospital intranet, e-mail system and approved internet sites.</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Emergency Medicine is part of the Emergency Services Directorate, which comprises the ED and the medical, surgical and T&amp;O admission units, all of which are situated within one ‘footprint’ at the east end of the hospital.</w:t>
            </w:r>
          </w:p>
          <w:p w:rsidR="00233DCA" w:rsidRDefault="00233DCA">
            <w:pPr>
              <w:jc w:val="both"/>
              <w:rPr>
                <w:rFonts w:cs="Arial"/>
                <w:sz w:val="20"/>
                <w:szCs w:val="20"/>
              </w:rPr>
            </w:pPr>
            <w:r>
              <w:rPr>
                <w:rFonts w:cs="Arial"/>
                <w:sz w:val="20"/>
                <w:szCs w:val="20"/>
              </w:rPr>
              <w:t>The Acute Medical Unit and ED work closely together.</w:t>
            </w:r>
          </w:p>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lastRenderedPageBreak/>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p>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r>
              <w:rPr>
                <w:rFonts w:cs="Arial"/>
                <w:sz w:val="20"/>
                <w:szCs w:val="20"/>
              </w:rPr>
              <w:t>Norfolk and Norwich University Hospital</w:t>
            </w:r>
          </w:p>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r>
              <w:rPr>
                <w:rFonts w:cs="Arial"/>
                <w:sz w:val="20"/>
                <w:szCs w:val="20"/>
              </w:rPr>
              <w:t>(If information available at this time)</w:t>
            </w:r>
          </w:p>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r>
              <w:rPr>
                <w:rFonts w:cs="Arial"/>
                <w:sz w:val="20"/>
                <w:szCs w:val="20"/>
              </w:rPr>
              <w:t>Clinical (for hospital posts):</w:t>
            </w:r>
          </w:p>
          <w:p w:rsidR="00233DCA" w:rsidRDefault="00233DCA">
            <w:pPr>
              <w:jc w:val="both"/>
              <w:rPr>
                <w:rFonts w:cs="Arial"/>
                <w:sz w:val="20"/>
                <w:szCs w:val="20"/>
              </w:rPr>
            </w:pPr>
            <w:r>
              <w:rPr>
                <w:rFonts w:cs="Arial"/>
                <w:sz w:val="20"/>
                <w:szCs w:val="20"/>
              </w:rPr>
              <w:t xml:space="preserve">The admission and treatment of emergency admissions for your speciality </w:t>
            </w:r>
          </w:p>
          <w:p w:rsidR="00233DCA" w:rsidRDefault="00233DCA">
            <w:pPr>
              <w:jc w:val="both"/>
              <w:rPr>
                <w:rFonts w:cs="Arial"/>
                <w:sz w:val="20"/>
                <w:szCs w:val="20"/>
              </w:rPr>
            </w:pPr>
            <w:r>
              <w:rPr>
                <w:rFonts w:cs="Arial"/>
                <w:sz w:val="20"/>
                <w:szCs w:val="20"/>
              </w:rPr>
              <w:t>Clerking (i.e. full history and examination) and day to day management of the inpatients for whom you are responsible.</w:t>
            </w:r>
          </w:p>
          <w:p w:rsidR="00233DCA" w:rsidRDefault="00233DCA">
            <w:pPr>
              <w:jc w:val="both"/>
              <w:rPr>
                <w:rFonts w:cs="Arial"/>
                <w:sz w:val="20"/>
                <w:szCs w:val="20"/>
              </w:rPr>
            </w:pPr>
            <w:r>
              <w:rPr>
                <w:rFonts w:cs="Arial"/>
                <w:sz w:val="20"/>
                <w:szCs w:val="20"/>
              </w:rPr>
              <w:t>Arrangement of investigations such as blood tests, X-rays and ECGs</w:t>
            </w:r>
          </w:p>
          <w:p w:rsidR="00233DCA" w:rsidRDefault="00233DCA">
            <w:pPr>
              <w:jc w:val="both"/>
              <w:rPr>
                <w:rFonts w:cs="Arial"/>
                <w:sz w:val="20"/>
                <w:szCs w:val="20"/>
              </w:rPr>
            </w:pPr>
            <w:r>
              <w:rPr>
                <w:rFonts w:cs="Arial"/>
                <w:sz w:val="20"/>
                <w:szCs w:val="20"/>
              </w:rPr>
              <w:t xml:space="preserve">Investigation and management of tertiary referral patients under the care of the department. </w:t>
            </w:r>
          </w:p>
          <w:p w:rsidR="00233DCA" w:rsidRDefault="00233DCA">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233DCA" w:rsidRDefault="00233DCA">
            <w:pPr>
              <w:jc w:val="both"/>
              <w:rPr>
                <w:rFonts w:cs="Arial"/>
                <w:sz w:val="20"/>
                <w:szCs w:val="20"/>
              </w:rPr>
            </w:pPr>
            <w:r>
              <w:rPr>
                <w:rFonts w:cs="Arial"/>
                <w:sz w:val="20"/>
                <w:szCs w:val="20"/>
              </w:rPr>
              <w:t>Documentation of patients’ progress in the hospital notes.</w:t>
            </w:r>
          </w:p>
          <w:p w:rsidR="00233DCA" w:rsidRDefault="00233DCA">
            <w:pPr>
              <w:jc w:val="both"/>
              <w:rPr>
                <w:rFonts w:cs="Arial"/>
                <w:sz w:val="20"/>
                <w:szCs w:val="20"/>
              </w:rPr>
            </w:pPr>
            <w:r>
              <w:rPr>
                <w:rFonts w:cs="Arial"/>
                <w:sz w:val="20"/>
                <w:szCs w:val="20"/>
              </w:rPr>
              <w:t>Obtaining consent for procedures subject to Consent Policy</w:t>
            </w:r>
          </w:p>
          <w:p w:rsidR="00233DCA" w:rsidRDefault="00233DCA">
            <w:pPr>
              <w:jc w:val="both"/>
              <w:rPr>
                <w:rFonts w:cs="Arial"/>
                <w:sz w:val="20"/>
                <w:szCs w:val="20"/>
              </w:rPr>
            </w:pPr>
            <w:r>
              <w:rPr>
                <w:rFonts w:cs="Arial"/>
                <w:sz w:val="20"/>
                <w:szCs w:val="20"/>
              </w:rPr>
              <w:t>Carrying cardiac arrest bleep and acting as member of resuscitation team (for medical posts)</w:t>
            </w:r>
          </w:p>
          <w:p w:rsidR="00233DCA" w:rsidRDefault="00233DCA">
            <w:pPr>
              <w:jc w:val="both"/>
              <w:rPr>
                <w:rFonts w:cs="Arial"/>
                <w:sz w:val="20"/>
                <w:szCs w:val="20"/>
              </w:rPr>
            </w:pPr>
            <w:r>
              <w:rPr>
                <w:rFonts w:cs="Arial"/>
                <w:sz w:val="20"/>
                <w:szCs w:val="20"/>
              </w:rPr>
              <w:t>Preparing patients for surgery, preparing theatre lists and assisting with procedures in theatre (for surgical posts)</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Communication:</w:t>
            </w:r>
          </w:p>
          <w:p w:rsidR="00233DCA" w:rsidRDefault="00233DCA">
            <w:pPr>
              <w:jc w:val="both"/>
              <w:rPr>
                <w:rFonts w:cs="Arial"/>
                <w:sz w:val="20"/>
                <w:szCs w:val="20"/>
              </w:rPr>
            </w:pPr>
            <w:r>
              <w:rPr>
                <w:rFonts w:cs="Arial"/>
                <w:sz w:val="20"/>
                <w:szCs w:val="20"/>
              </w:rPr>
              <w:t>Close liaison with other members of the team and your Consultant(s)/GP educational supervisors concerning the care of your patients</w:t>
            </w:r>
          </w:p>
          <w:p w:rsidR="00233DCA" w:rsidRDefault="00233DCA">
            <w:pPr>
              <w:jc w:val="both"/>
              <w:rPr>
                <w:rFonts w:cs="Arial"/>
                <w:sz w:val="20"/>
                <w:szCs w:val="20"/>
              </w:rPr>
            </w:pPr>
            <w:r>
              <w:rPr>
                <w:rFonts w:cs="Arial"/>
                <w:sz w:val="20"/>
                <w:szCs w:val="20"/>
              </w:rPr>
              <w:t>Communication with patients, relatives, nurses, GPs and other colleagues.</w:t>
            </w:r>
          </w:p>
          <w:p w:rsidR="00233DCA" w:rsidRDefault="00233DCA">
            <w:pPr>
              <w:jc w:val="both"/>
              <w:rPr>
                <w:rFonts w:cs="Arial"/>
                <w:sz w:val="20"/>
                <w:szCs w:val="20"/>
              </w:rPr>
            </w:pPr>
            <w:r>
              <w:rPr>
                <w:rFonts w:cs="Arial"/>
                <w:sz w:val="20"/>
                <w:szCs w:val="20"/>
              </w:rPr>
              <w:t>Handover of patient information between shifts (hospital posts)</w:t>
            </w:r>
          </w:p>
          <w:p w:rsidR="00233DCA" w:rsidRDefault="00233DCA">
            <w:pPr>
              <w:jc w:val="both"/>
              <w:rPr>
                <w:rFonts w:cs="Arial"/>
                <w:sz w:val="20"/>
                <w:szCs w:val="20"/>
              </w:rPr>
            </w:pPr>
            <w:r>
              <w:rPr>
                <w:rFonts w:cs="Arial"/>
                <w:sz w:val="20"/>
                <w:szCs w:val="20"/>
              </w:rPr>
              <w:t>Referral of patients to other teams (hospital posts)</w:t>
            </w:r>
          </w:p>
          <w:p w:rsidR="00233DCA" w:rsidRDefault="00233DCA">
            <w:pPr>
              <w:jc w:val="both"/>
              <w:rPr>
                <w:rFonts w:cs="Arial"/>
                <w:sz w:val="20"/>
                <w:szCs w:val="20"/>
              </w:rPr>
            </w:pPr>
            <w:r>
              <w:rPr>
                <w:rFonts w:cs="Arial"/>
                <w:sz w:val="20"/>
                <w:szCs w:val="20"/>
              </w:rPr>
              <w:t xml:space="preserve">Discharge notification (hospital posts) </w:t>
            </w:r>
          </w:p>
          <w:p w:rsidR="00233DCA" w:rsidRDefault="00233DCA">
            <w:pPr>
              <w:jc w:val="both"/>
              <w:rPr>
                <w:rFonts w:cs="Arial"/>
                <w:sz w:val="20"/>
                <w:szCs w:val="20"/>
              </w:rPr>
            </w:pPr>
            <w:r>
              <w:rPr>
                <w:rFonts w:cs="Arial"/>
                <w:sz w:val="20"/>
                <w:szCs w:val="20"/>
              </w:rPr>
              <w:t>Death notification.</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Education/Audit/Governance:</w:t>
            </w:r>
          </w:p>
          <w:p w:rsidR="00233DCA" w:rsidRDefault="00233DCA">
            <w:pPr>
              <w:jc w:val="both"/>
              <w:rPr>
                <w:rFonts w:cs="Arial"/>
                <w:sz w:val="20"/>
                <w:szCs w:val="20"/>
              </w:rPr>
            </w:pPr>
            <w:r>
              <w:rPr>
                <w:rFonts w:cs="Arial"/>
                <w:sz w:val="20"/>
                <w:szCs w:val="20"/>
              </w:rPr>
              <w:t>Attendance at departmental/surgery meetings and educational seminars</w:t>
            </w:r>
          </w:p>
          <w:p w:rsidR="00233DCA" w:rsidRDefault="00233DCA">
            <w:pPr>
              <w:jc w:val="both"/>
              <w:rPr>
                <w:rFonts w:cs="Arial"/>
                <w:sz w:val="20"/>
                <w:szCs w:val="20"/>
              </w:rPr>
            </w:pPr>
            <w:r>
              <w:rPr>
                <w:rFonts w:cs="Arial"/>
                <w:sz w:val="20"/>
                <w:szCs w:val="20"/>
              </w:rPr>
              <w:t xml:space="preserve">Supervision of medical students.  </w:t>
            </w:r>
          </w:p>
          <w:p w:rsidR="00233DCA" w:rsidRDefault="00233DCA">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233DCA" w:rsidRDefault="00233DCA">
            <w:pPr>
              <w:jc w:val="both"/>
              <w:rPr>
                <w:rFonts w:cs="Arial"/>
                <w:sz w:val="20"/>
                <w:szCs w:val="20"/>
              </w:rPr>
            </w:pPr>
            <w:r>
              <w:rPr>
                <w:rFonts w:cs="Arial"/>
                <w:sz w:val="20"/>
                <w:szCs w:val="20"/>
              </w:rPr>
              <w:t>Maintaining professional standards as outlined in the GMC document 'Maintaining Good Medical Practice'</w:t>
            </w:r>
          </w:p>
          <w:p w:rsidR="00233DCA" w:rsidRDefault="00233DCA">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 xml:space="preserve">The doctor in training also accepts that they will perform duties in occasional emergencies and unforeseen circumstances at the request of the appropriate consultants, in consultation, where </w:t>
            </w:r>
            <w:r>
              <w:rPr>
                <w:rFonts w:cs="Arial"/>
                <w:sz w:val="20"/>
                <w:szCs w:val="20"/>
              </w:rPr>
              <w:lastRenderedPageBreak/>
              <w:t>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r>
              <w:rPr>
                <w:rFonts w:cs="Arial"/>
                <w:sz w:val="20"/>
                <w:szCs w:val="20"/>
              </w:rPr>
              <w:t>All rotas are EWTD compliant, Full Shift and banded appropriately.</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 xml:space="preserve">You will work a number of different shifts, examples of which are below:         </w:t>
            </w:r>
          </w:p>
          <w:p w:rsidR="00233DCA" w:rsidRDefault="00233DCA">
            <w:pPr>
              <w:jc w:val="both"/>
              <w:rPr>
                <w:rFonts w:cs="Arial"/>
                <w:sz w:val="20"/>
                <w:szCs w:val="20"/>
              </w:rPr>
            </w:pPr>
          </w:p>
          <w:tbl>
            <w:tblPr>
              <w:tblW w:w="3220" w:type="dxa"/>
              <w:tblLook w:val="04A0" w:firstRow="1" w:lastRow="0" w:firstColumn="1" w:lastColumn="0" w:noHBand="0" w:noVBand="1"/>
            </w:tblPr>
            <w:tblGrid>
              <w:gridCol w:w="1300"/>
              <w:gridCol w:w="960"/>
              <w:gridCol w:w="960"/>
            </w:tblGrid>
            <w:tr w:rsidR="00233DCA">
              <w:trPr>
                <w:trHeight w:val="270"/>
              </w:trPr>
              <w:tc>
                <w:tcPr>
                  <w:tcW w:w="1300" w:type="dxa"/>
                  <w:tcBorders>
                    <w:top w:val="single" w:sz="8" w:space="0" w:color="000000"/>
                    <w:left w:val="nil"/>
                    <w:bottom w:val="single" w:sz="8" w:space="0" w:color="000000"/>
                    <w:right w:val="single" w:sz="8" w:space="0" w:color="000000"/>
                  </w:tcBorders>
                  <w:shd w:val="clear" w:color="auto" w:fill="C0C0C0"/>
                  <w:hideMark/>
                </w:tcPr>
                <w:p w:rsidR="00233DCA" w:rsidRDefault="00233DCA">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233DCA" w:rsidRDefault="00233DCA">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233DCA" w:rsidRDefault="00233DCA">
                  <w:pPr>
                    <w:jc w:val="center"/>
                    <w:rPr>
                      <w:rFonts w:cs="Arial"/>
                      <w:b/>
                      <w:bCs/>
                      <w:color w:val="000000"/>
                      <w:sz w:val="16"/>
                      <w:szCs w:val="16"/>
                    </w:rPr>
                  </w:pPr>
                  <w:r>
                    <w:rPr>
                      <w:rFonts w:cs="Arial"/>
                      <w:b/>
                      <w:bCs/>
                      <w:color w:val="000000"/>
                      <w:sz w:val="16"/>
                      <w:szCs w:val="16"/>
                    </w:rPr>
                    <w:t>Finish</w:t>
                  </w:r>
                </w:p>
              </w:tc>
            </w:tr>
            <w:tr w:rsidR="00233DCA">
              <w:trPr>
                <w:trHeight w:val="270"/>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16:00</w:t>
                  </w:r>
                </w:p>
              </w:tc>
            </w:tr>
            <w:tr w:rsidR="00233DCA">
              <w:trPr>
                <w:trHeight w:val="270"/>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17:00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18:00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18:00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10:00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18:00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20:00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22:00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22:00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15:00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23:00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15:00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01:00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16:00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00:00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16:00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02:00</w:t>
                  </w:r>
                </w:p>
              </w:tc>
            </w:tr>
            <w:tr w:rsidR="00233DCA">
              <w:trPr>
                <w:trHeight w:val="255"/>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18:00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02:00</w:t>
                  </w:r>
                </w:p>
              </w:tc>
            </w:tr>
            <w:tr w:rsidR="00233DCA">
              <w:trPr>
                <w:trHeight w:val="270"/>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23:00</w:t>
                  </w:r>
                </w:p>
              </w:tc>
            </w:tr>
            <w:tr w:rsidR="00233DCA">
              <w:trPr>
                <w:trHeight w:val="270"/>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10:00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21:00</w:t>
                  </w:r>
                </w:p>
              </w:tc>
            </w:tr>
            <w:tr w:rsidR="00233DCA">
              <w:trPr>
                <w:trHeight w:val="270"/>
              </w:trPr>
              <w:tc>
                <w:tcPr>
                  <w:tcW w:w="130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233DCA" w:rsidRDefault="00233DCA">
                  <w:pPr>
                    <w:jc w:val="center"/>
                    <w:rPr>
                      <w:rFonts w:cs="Arial"/>
                      <w:color w:val="000000"/>
                      <w:sz w:val="16"/>
                      <w:szCs w:val="16"/>
                    </w:rPr>
                  </w:pPr>
                  <w:r>
                    <w:rPr>
                      <w:rFonts w:cs="Arial"/>
                      <w:color w:val="000000"/>
                      <w:sz w:val="16"/>
                      <w:szCs w:val="16"/>
                    </w:rPr>
                    <w:t>20:00</w:t>
                  </w:r>
                </w:p>
              </w:tc>
            </w:tr>
          </w:tbl>
          <w:p w:rsidR="00233DCA" w:rsidRDefault="00233DCA">
            <w:pPr>
              <w:jc w:val="both"/>
              <w:rPr>
                <w:rFonts w:cs="Arial"/>
                <w:sz w:val="20"/>
                <w:szCs w:val="20"/>
                <w:lang w:val="en-US" w:eastAsia="en-US"/>
              </w:rPr>
            </w:pPr>
          </w:p>
        </w:tc>
      </w:tr>
      <w:tr w:rsidR="00233DCA" w:rsidTr="00233DCA">
        <w:trPr>
          <w:trHeight w:val="144"/>
        </w:trPr>
        <w:tc>
          <w:tcPr>
            <w:tcW w:w="3420" w:type="dxa"/>
            <w:tcBorders>
              <w:top w:val="single" w:sz="4" w:space="0" w:color="auto"/>
              <w:left w:val="single" w:sz="4" w:space="0" w:color="auto"/>
              <w:bottom w:val="single" w:sz="4" w:space="0" w:color="auto"/>
              <w:right w:val="single" w:sz="4" w:space="0" w:color="auto"/>
            </w:tcBorders>
            <w:hideMark/>
          </w:tcPr>
          <w:p w:rsidR="00233DCA" w:rsidRDefault="00233DCA">
            <w:pPr>
              <w:rPr>
                <w:rFonts w:cs="Arial"/>
                <w:sz w:val="20"/>
                <w:szCs w:val="20"/>
                <w:lang w:val="en-US" w:eastAsia="en-US"/>
              </w:rPr>
            </w:pPr>
            <w:r>
              <w:rPr>
                <w:rFonts w:cs="Arial"/>
                <w:sz w:val="20"/>
                <w:szCs w:val="20"/>
              </w:rPr>
              <w:t>Employer information</w:t>
            </w:r>
          </w:p>
        </w:tc>
        <w:tc>
          <w:tcPr>
            <w:tcW w:w="6120" w:type="dxa"/>
            <w:tcBorders>
              <w:top w:val="single" w:sz="4" w:space="0" w:color="auto"/>
              <w:left w:val="single" w:sz="4" w:space="0" w:color="auto"/>
              <w:bottom w:val="single" w:sz="4" w:space="0" w:color="auto"/>
              <w:right w:val="single" w:sz="4" w:space="0" w:color="auto"/>
            </w:tcBorders>
          </w:tcPr>
          <w:p w:rsidR="00233DCA" w:rsidRDefault="00233DCA">
            <w:pPr>
              <w:jc w:val="both"/>
              <w:rPr>
                <w:rFonts w:cs="Arial"/>
                <w:sz w:val="20"/>
                <w:szCs w:val="20"/>
                <w:lang w:val="en-US" w:eastAsia="en-US"/>
              </w:rPr>
            </w:pPr>
            <w:r>
              <w:rPr>
                <w:rFonts w:cs="Arial"/>
                <w:sz w:val="20"/>
                <w:szCs w:val="20"/>
              </w:rPr>
              <w:t xml:space="preserve">The Norfolk and Norwich University Trust was first established on 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233DCA" w:rsidRDefault="00233DCA">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Norfolk and Norwich 21st Century Healthcare</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233DCA" w:rsidRDefault="00233DCA">
            <w:pPr>
              <w:jc w:val="both"/>
              <w:rPr>
                <w:rFonts w:cs="Arial"/>
                <w:sz w:val="20"/>
                <w:szCs w:val="20"/>
              </w:rPr>
            </w:pPr>
          </w:p>
          <w:p w:rsidR="00233DCA" w:rsidRDefault="00233DCA">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233DCA" w:rsidRDefault="00233DCA">
            <w:pPr>
              <w:jc w:val="both"/>
              <w:rPr>
                <w:rFonts w:cs="Arial"/>
                <w:sz w:val="20"/>
                <w:szCs w:val="20"/>
                <w:lang w:val="en-US" w:eastAsia="en-US"/>
              </w:rPr>
            </w:pPr>
          </w:p>
        </w:tc>
      </w:tr>
    </w:tbl>
    <w:p w:rsidR="00233DCA" w:rsidRDefault="00233DCA" w:rsidP="00233DCA">
      <w:pPr>
        <w:rPr>
          <w:rFonts w:cs="Arial"/>
          <w:sz w:val="22"/>
          <w:szCs w:val="22"/>
          <w:lang w:val="en-US" w:eastAsia="en-US"/>
        </w:rPr>
      </w:pPr>
    </w:p>
    <w:p w:rsidR="00233DCA" w:rsidRDefault="00233DCA" w:rsidP="00233DCA">
      <w:pPr>
        <w:rPr>
          <w:rFonts w:cs="Arial"/>
          <w:sz w:val="22"/>
          <w:szCs w:val="22"/>
        </w:rPr>
      </w:pPr>
      <w:r>
        <w:rPr>
          <w:rFonts w:cs="Arial"/>
          <w:sz w:val="22"/>
          <w:szCs w:val="22"/>
        </w:rPr>
        <w:t>It is important to note that this description is a typical example of your placement and may be subject to change.</w:t>
      </w:r>
    </w:p>
    <w:p w:rsidR="00DF21D4" w:rsidRPr="00233DCA" w:rsidRDefault="00DF21D4" w:rsidP="00233DCA"/>
    <w:sectPr w:rsidR="00DF21D4" w:rsidRPr="00233DCA"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046E4"/>
    <w:rsid w:val="00C2247A"/>
    <w:rsid w:val="00C613B3"/>
    <w:rsid w:val="00CA74A2"/>
    <w:rsid w:val="00D22CF2"/>
    <w:rsid w:val="00D36A35"/>
    <w:rsid w:val="00DC1A97"/>
    <w:rsid w:val="00DD1D02"/>
    <w:rsid w:val="00DE4B05"/>
    <w:rsid w:val="00DF21D4"/>
    <w:rsid w:val="00E15CCF"/>
    <w:rsid w:val="00E2750E"/>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2016-09-22T14:53:00Z</dcterms:created>
  <dcterms:modified xsi:type="dcterms:W3CDTF">2016-09-22T14:53:00Z</dcterms:modified>
</cp:coreProperties>
</file>