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A" w:rsidRDefault="0084225A" w:rsidP="0084225A">
      <w:pPr>
        <w:tabs>
          <w:tab w:val="center" w:pos="5040"/>
          <w:tab w:val="right" w:pos="9900"/>
        </w:tabs>
      </w:pPr>
      <w:r>
        <w:t xml:space="preserve"> </w:t>
      </w:r>
      <w:r>
        <w:tab/>
      </w:r>
      <w:r>
        <w:tab/>
      </w:r>
      <w:bookmarkStart w:id="0" w:name="_GoBack"/>
      <w:bookmarkEnd w:id="0"/>
    </w:p>
    <w:p w:rsidR="0084225A" w:rsidRDefault="0084225A" w:rsidP="0084225A">
      <w:pPr>
        <w:jc w:val="center"/>
        <w:rPr>
          <w:rFonts w:cs="Arial"/>
          <w:b/>
          <w:sz w:val="28"/>
          <w:szCs w:val="28"/>
        </w:rPr>
      </w:pPr>
    </w:p>
    <w:p w:rsidR="0084225A" w:rsidRDefault="0084225A" w:rsidP="0084225A">
      <w:pPr>
        <w:jc w:val="center"/>
        <w:rPr>
          <w:rFonts w:cs="Arial"/>
          <w:b/>
          <w:sz w:val="28"/>
          <w:szCs w:val="28"/>
        </w:rPr>
      </w:pPr>
      <w:r>
        <w:rPr>
          <w:rFonts w:cs="Arial"/>
          <w:b/>
          <w:sz w:val="28"/>
          <w:szCs w:val="28"/>
        </w:rPr>
        <w:t>East Anglia Foundation School</w:t>
      </w:r>
    </w:p>
    <w:p w:rsidR="0084225A" w:rsidRDefault="0084225A" w:rsidP="0084225A">
      <w:pPr>
        <w:jc w:val="center"/>
        <w:rPr>
          <w:rFonts w:cs="Arial"/>
          <w:b/>
          <w:sz w:val="28"/>
          <w:szCs w:val="28"/>
        </w:rPr>
      </w:pPr>
      <w:r>
        <w:rPr>
          <w:rFonts w:cs="Arial"/>
          <w:b/>
          <w:sz w:val="28"/>
          <w:szCs w:val="28"/>
        </w:rPr>
        <w:t xml:space="preserve">Individual Placement Description </w:t>
      </w:r>
    </w:p>
    <w:p w:rsidR="0084225A" w:rsidRDefault="0084225A" w:rsidP="0084225A">
      <w:pPr>
        <w:jc w:val="center"/>
        <w:rPr>
          <w:rFonts w:cs="Arial"/>
          <w:b/>
          <w:sz w:val="28"/>
          <w:szCs w:val="28"/>
        </w:rPr>
      </w:pPr>
    </w:p>
    <w:p w:rsidR="0084225A" w:rsidRDefault="0084225A" w:rsidP="0084225A">
      <w:pPr>
        <w:jc w:val="center"/>
        <w:rPr>
          <w:rFonts w:cs="Arial"/>
          <w:b/>
          <w:sz w:val="28"/>
          <w:szCs w:val="28"/>
        </w:rPr>
      </w:pPr>
      <w:r>
        <w:rPr>
          <w:rFonts w:cs="Arial"/>
          <w:b/>
          <w:sz w:val="28"/>
          <w:szCs w:val="28"/>
        </w:rPr>
        <w:t>Norfolk and Norwich University Hospital NHS Foundation Trust</w:t>
      </w:r>
    </w:p>
    <w:p w:rsidR="0084225A" w:rsidRDefault="0084225A" w:rsidP="0084225A">
      <w:pPr>
        <w:rPr>
          <w:rFonts w:cs="Arial"/>
          <w:b/>
          <w:sz w:val="22"/>
          <w:szCs w:val="22"/>
        </w:rPr>
      </w:pPr>
    </w:p>
    <w:p w:rsidR="0084225A" w:rsidRDefault="0084225A" w:rsidP="0084225A">
      <w:pPr>
        <w:rPr>
          <w:rFonts w:cs="Arial"/>
          <w:sz w:val="22"/>
          <w:szCs w:val="22"/>
        </w:rPr>
      </w:pPr>
      <w:proofErr w:type="gramStart"/>
      <w:r>
        <w:rPr>
          <w:rFonts w:cs="Arial"/>
          <w:sz w:val="22"/>
          <w:szCs w:val="22"/>
        </w:rPr>
        <w:t>All information to be completed by the Foundation School.</w:t>
      </w:r>
      <w:proofErr w:type="gramEnd"/>
    </w:p>
    <w:p w:rsidR="0084225A" w:rsidRDefault="0084225A" w:rsidP="0084225A">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r>
              <w:rPr>
                <w:rFonts w:cs="Arial"/>
                <w:sz w:val="20"/>
                <w:szCs w:val="20"/>
              </w:rPr>
              <w:t xml:space="preserve">Foundation House Officer  </w:t>
            </w:r>
          </w:p>
          <w:p w:rsidR="0084225A" w:rsidRDefault="0084225A">
            <w:pPr>
              <w:jc w:val="both"/>
              <w:rPr>
                <w:rFonts w:cs="Arial"/>
                <w:sz w:val="20"/>
                <w:szCs w:val="20"/>
              </w:rPr>
            </w:pPr>
            <w:r>
              <w:rPr>
                <w:rFonts w:cs="Arial"/>
                <w:sz w:val="20"/>
                <w:szCs w:val="20"/>
              </w:rPr>
              <w:t>Medicine for the Elderly</w:t>
            </w:r>
          </w:p>
          <w:p w:rsidR="0084225A" w:rsidRDefault="0084225A">
            <w:pPr>
              <w:jc w:val="both"/>
              <w:rPr>
                <w:rFonts w:cs="Arial"/>
                <w:sz w:val="20"/>
                <w:szCs w:val="20"/>
                <w:lang w:val="en-US" w:eastAsia="en-US"/>
              </w:rPr>
            </w:pP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outlineLvl w:val="0"/>
              <w:rPr>
                <w:rFonts w:cs="Arial"/>
                <w:sz w:val="20"/>
                <w:szCs w:val="20"/>
                <w:lang w:val="en-US" w:eastAsia="en-US"/>
              </w:rPr>
            </w:pPr>
            <w:r>
              <w:rPr>
                <w:rFonts w:cs="Arial"/>
                <w:sz w:val="20"/>
                <w:szCs w:val="20"/>
              </w:rPr>
              <w:t>12 Consultants in Medicine for the Elderly</w:t>
            </w:r>
          </w:p>
          <w:p w:rsidR="0084225A" w:rsidRDefault="0084225A">
            <w:pPr>
              <w:tabs>
                <w:tab w:val="left" w:pos="3060"/>
              </w:tabs>
              <w:jc w:val="both"/>
              <w:rPr>
                <w:rFonts w:cs="Arial"/>
                <w:sz w:val="20"/>
                <w:szCs w:val="20"/>
              </w:rPr>
            </w:pPr>
            <w:r>
              <w:rPr>
                <w:rFonts w:cs="Arial"/>
                <w:sz w:val="20"/>
                <w:szCs w:val="20"/>
              </w:rPr>
              <w:t>2 Associate Specialists</w:t>
            </w:r>
          </w:p>
          <w:p w:rsidR="0084225A" w:rsidRDefault="0084225A">
            <w:pPr>
              <w:tabs>
                <w:tab w:val="left" w:pos="3060"/>
              </w:tabs>
              <w:jc w:val="both"/>
              <w:rPr>
                <w:rFonts w:cs="Arial"/>
                <w:sz w:val="20"/>
                <w:szCs w:val="20"/>
              </w:rPr>
            </w:pPr>
            <w:r>
              <w:rPr>
                <w:rFonts w:cs="Arial"/>
                <w:sz w:val="20"/>
                <w:szCs w:val="20"/>
              </w:rPr>
              <w:t>2 Clinical Fellow</w:t>
            </w:r>
          </w:p>
          <w:p w:rsidR="0084225A" w:rsidRDefault="0084225A">
            <w:pPr>
              <w:tabs>
                <w:tab w:val="left" w:pos="3060"/>
              </w:tabs>
              <w:jc w:val="both"/>
              <w:rPr>
                <w:rFonts w:cs="Arial"/>
                <w:color w:val="000000"/>
                <w:spacing w:val="-3"/>
                <w:sz w:val="20"/>
                <w:szCs w:val="20"/>
              </w:rPr>
            </w:pPr>
            <w:r>
              <w:rPr>
                <w:rFonts w:cs="Arial"/>
                <w:sz w:val="20"/>
                <w:szCs w:val="20"/>
              </w:rPr>
              <w:t xml:space="preserve">4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p>
          <w:p w:rsidR="0084225A" w:rsidRDefault="0084225A">
            <w:pPr>
              <w:tabs>
                <w:tab w:val="left" w:pos="3060"/>
              </w:tabs>
              <w:jc w:val="both"/>
              <w:rPr>
                <w:rFonts w:cs="Arial"/>
                <w:sz w:val="20"/>
                <w:szCs w:val="20"/>
              </w:rPr>
            </w:pPr>
            <w:r>
              <w:rPr>
                <w:rFonts w:cs="Arial"/>
                <w:color w:val="000000"/>
                <w:spacing w:val="-3"/>
                <w:sz w:val="20"/>
                <w:szCs w:val="20"/>
              </w:rPr>
              <w:t xml:space="preserve">2 </w:t>
            </w:r>
            <w:proofErr w:type="spellStart"/>
            <w:r>
              <w:rPr>
                <w:rFonts w:cs="Arial"/>
                <w:color w:val="000000"/>
                <w:spacing w:val="-3"/>
                <w:sz w:val="20"/>
                <w:szCs w:val="20"/>
              </w:rPr>
              <w:t>StR</w:t>
            </w:r>
            <w:proofErr w:type="spellEnd"/>
            <w:r>
              <w:rPr>
                <w:rFonts w:cs="Arial"/>
                <w:color w:val="000000"/>
                <w:spacing w:val="-3"/>
                <w:sz w:val="20"/>
                <w:szCs w:val="20"/>
              </w:rPr>
              <w:t xml:space="preserve"> level 3 or above Academic Clinical Fellows</w:t>
            </w:r>
          </w:p>
          <w:p w:rsidR="0084225A" w:rsidRDefault="0084225A">
            <w:pPr>
              <w:jc w:val="both"/>
              <w:rPr>
                <w:rFonts w:cs="Arial"/>
                <w:sz w:val="20"/>
                <w:szCs w:val="20"/>
              </w:rPr>
            </w:pPr>
            <w:r>
              <w:rPr>
                <w:rFonts w:cs="Arial"/>
                <w:sz w:val="20"/>
                <w:szCs w:val="20"/>
              </w:rPr>
              <w:t xml:space="preserve">6 CMT posts, 3 GPSTP posts, 4 Foundation House Officer 2, 6 Foundation House Officer 1. </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The Medicine for the Elderly (MFE) department provides a comprehensive acute inpatient service and outpatient clinics.  There are 5 wards of around 36 beds each, and with variable numbers of patients on the Acute Medical Unit (AMU) and on outlying wards, the department is usually providing care to over 200 patients.</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 xml:space="preserve">One ward is designated short stay, taking patients anticipated to require no more than 2 days in hospital.  One ward is the stroke unit.  Two and a half wards provide MFE care.  There is an 18 bed </w:t>
            </w:r>
            <w:proofErr w:type="spellStart"/>
            <w:r>
              <w:rPr>
                <w:rFonts w:cs="Arial"/>
                <w:sz w:val="20"/>
                <w:szCs w:val="20"/>
              </w:rPr>
              <w:t>orthogeriatrics</w:t>
            </w:r>
            <w:proofErr w:type="spellEnd"/>
            <w:r>
              <w:rPr>
                <w:rFonts w:cs="Arial"/>
                <w:sz w:val="20"/>
                <w:szCs w:val="20"/>
              </w:rPr>
              <w:t xml:space="preserve"> unit for patients with fracture neck of femur, run conjointly with Orthopaedics.</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The department runs general and specialist outpatient clinics.  The specialist clinics comprise 2 TIA clinics per week, two Falls clinic and a Movement Disorder (Parkinson’s) clinic, the latter run conjointly with neurology.  There is also a Syncope clinic.  There is also a day facility for both multidisciplinary day assessment and procedures such as blood transfusion.</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All medical patients are admitted to the AMU and then systematically triaged to the appropriate medical specialty.  Patients are selected for MFE on a mixed age and needs-related basis.  MFE take all patients over 60 with stroke and a varying proportion of patients over 70 with other general medical conditions.  As a result between 45% - 50% of the emergency medical take comes to MFE.  The duty MFE Consultant does a morning and evening post-take ward round, accompanied by a MFE junior doctor.  On weekdays the AMU is also visited by a MFE Consultant during the afternoon.</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 xml:space="preserve">Each consultant has a </w:t>
            </w:r>
            <w:proofErr w:type="spellStart"/>
            <w:r>
              <w:rPr>
                <w:rFonts w:cs="Arial"/>
                <w:sz w:val="20"/>
                <w:szCs w:val="20"/>
              </w:rPr>
              <w:t>subspeciality</w:t>
            </w:r>
            <w:proofErr w:type="spellEnd"/>
            <w:r>
              <w:rPr>
                <w:rFonts w:cs="Arial"/>
                <w:sz w:val="20"/>
                <w:szCs w:val="20"/>
              </w:rPr>
              <w:t xml:space="preserve"> interest.  In addition to those mentioned above, there are links with upper GI endoscopy and Old Age Psychiatry.  Consultants have duties in community hospitals providing rehabilitation and palliative care and clinics are </w:t>
            </w:r>
            <w:r>
              <w:rPr>
                <w:rFonts w:cs="Arial"/>
                <w:sz w:val="20"/>
                <w:szCs w:val="20"/>
              </w:rPr>
              <w:lastRenderedPageBreak/>
              <w:t>held in community settings.</w:t>
            </w:r>
          </w:p>
          <w:p w:rsidR="0084225A" w:rsidRDefault="0084225A">
            <w:pPr>
              <w:jc w:val="both"/>
              <w:rPr>
                <w:rFonts w:cs="Arial"/>
                <w:sz w:val="20"/>
                <w:szCs w:val="20"/>
                <w:lang w:val="en-US" w:eastAsia="en-US"/>
              </w:rPr>
            </w:pP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lastRenderedPageBreak/>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p>
          <w:p w:rsidR="0084225A" w:rsidRDefault="0084225A">
            <w:pPr>
              <w:jc w:val="both"/>
              <w:rPr>
                <w:rFonts w:cs="Arial"/>
                <w:sz w:val="20"/>
                <w:szCs w:val="20"/>
                <w:lang w:val="en-US" w:eastAsia="en-US"/>
              </w:rPr>
            </w:pP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r>
              <w:rPr>
                <w:rFonts w:cs="Arial"/>
                <w:sz w:val="20"/>
                <w:szCs w:val="20"/>
              </w:rPr>
              <w:t>Norfolk and Norwich University Hospital</w:t>
            </w:r>
          </w:p>
          <w:p w:rsidR="0084225A" w:rsidRDefault="0084225A">
            <w:pPr>
              <w:jc w:val="both"/>
              <w:rPr>
                <w:rFonts w:cs="Arial"/>
                <w:sz w:val="20"/>
                <w:szCs w:val="20"/>
                <w:lang w:val="en-US" w:eastAsia="en-US"/>
              </w:rPr>
            </w:pP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r>
              <w:rPr>
                <w:rFonts w:cs="Arial"/>
                <w:sz w:val="20"/>
                <w:szCs w:val="20"/>
              </w:rPr>
              <w:t>(If information available at this time)</w:t>
            </w:r>
          </w:p>
          <w:p w:rsidR="0084225A" w:rsidRDefault="0084225A">
            <w:pPr>
              <w:jc w:val="both"/>
              <w:rPr>
                <w:rFonts w:cs="Arial"/>
                <w:sz w:val="20"/>
                <w:szCs w:val="20"/>
                <w:lang w:val="en-US" w:eastAsia="en-US"/>
              </w:rPr>
            </w:pP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r>
              <w:rPr>
                <w:rFonts w:cs="Arial"/>
                <w:sz w:val="20"/>
                <w:szCs w:val="20"/>
              </w:rPr>
              <w:t>Clinical (for hospital posts):</w:t>
            </w:r>
          </w:p>
          <w:p w:rsidR="0084225A" w:rsidRDefault="0084225A">
            <w:pPr>
              <w:jc w:val="both"/>
              <w:rPr>
                <w:rFonts w:cs="Arial"/>
                <w:sz w:val="20"/>
                <w:szCs w:val="20"/>
              </w:rPr>
            </w:pPr>
            <w:r>
              <w:rPr>
                <w:rFonts w:cs="Arial"/>
                <w:sz w:val="20"/>
                <w:szCs w:val="20"/>
              </w:rPr>
              <w:t xml:space="preserve">The admission and treatment of emergency admissions for your speciality </w:t>
            </w:r>
          </w:p>
          <w:p w:rsidR="0084225A" w:rsidRDefault="0084225A">
            <w:pPr>
              <w:jc w:val="both"/>
              <w:rPr>
                <w:rFonts w:cs="Arial"/>
                <w:sz w:val="20"/>
                <w:szCs w:val="20"/>
              </w:rPr>
            </w:pPr>
            <w:r>
              <w:rPr>
                <w:rFonts w:cs="Arial"/>
                <w:sz w:val="20"/>
                <w:szCs w:val="20"/>
              </w:rPr>
              <w:t>Clerking (i.e. full history and examination) and day to day management of the inpatients for whom you are responsible.</w:t>
            </w:r>
          </w:p>
          <w:p w:rsidR="0084225A" w:rsidRDefault="0084225A">
            <w:pPr>
              <w:jc w:val="both"/>
              <w:rPr>
                <w:rFonts w:cs="Arial"/>
                <w:sz w:val="20"/>
                <w:szCs w:val="20"/>
              </w:rPr>
            </w:pPr>
            <w:r>
              <w:rPr>
                <w:rFonts w:cs="Arial"/>
                <w:sz w:val="20"/>
                <w:szCs w:val="20"/>
              </w:rPr>
              <w:t>Arrangement of investigations such as blood tests, X-rays and ECGs</w:t>
            </w:r>
          </w:p>
          <w:p w:rsidR="0084225A" w:rsidRDefault="0084225A">
            <w:pPr>
              <w:jc w:val="both"/>
              <w:rPr>
                <w:rFonts w:cs="Arial"/>
                <w:sz w:val="20"/>
                <w:szCs w:val="20"/>
              </w:rPr>
            </w:pPr>
            <w:r>
              <w:rPr>
                <w:rFonts w:cs="Arial"/>
                <w:sz w:val="20"/>
                <w:szCs w:val="20"/>
              </w:rPr>
              <w:t xml:space="preserve">Investigation and management of tertiary referral patients under the care of the department. </w:t>
            </w:r>
          </w:p>
          <w:p w:rsidR="0084225A" w:rsidRDefault="0084225A">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84225A" w:rsidRDefault="0084225A">
            <w:pPr>
              <w:jc w:val="both"/>
              <w:rPr>
                <w:rFonts w:cs="Arial"/>
                <w:sz w:val="20"/>
                <w:szCs w:val="20"/>
              </w:rPr>
            </w:pPr>
            <w:r>
              <w:rPr>
                <w:rFonts w:cs="Arial"/>
                <w:sz w:val="20"/>
                <w:szCs w:val="20"/>
              </w:rPr>
              <w:t>Documentation of patients’ progress in the hospital notes.</w:t>
            </w:r>
          </w:p>
          <w:p w:rsidR="0084225A" w:rsidRDefault="0084225A">
            <w:pPr>
              <w:jc w:val="both"/>
              <w:rPr>
                <w:rFonts w:cs="Arial"/>
                <w:sz w:val="20"/>
                <w:szCs w:val="20"/>
              </w:rPr>
            </w:pPr>
            <w:r>
              <w:rPr>
                <w:rFonts w:cs="Arial"/>
                <w:sz w:val="20"/>
                <w:szCs w:val="20"/>
              </w:rPr>
              <w:t>Obtaining consent for procedures subject to Consent Policy</w:t>
            </w:r>
          </w:p>
          <w:p w:rsidR="0084225A" w:rsidRDefault="0084225A">
            <w:pPr>
              <w:jc w:val="both"/>
              <w:rPr>
                <w:rFonts w:cs="Arial"/>
                <w:sz w:val="20"/>
                <w:szCs w:val="20"/>
              </w:rPr>
            </w:pPr>
            <w:r>
              <w:rPr>
                <w:rFonts w:cs="Arial"/>
                <w:sz w:val="20"/>
                <w:szCs w:val="20"/>
              </w:rPr>
              <w:t>Carrying cardiac arrest bleep and acting as member of resuscitation team (for medical posts)</w:t>
            </w:r>
          </w:p>
          <w:p w:rsidR="0084225A" w:rsidRDefault="0084225A">
            <w:pPr>
              <w:jc w:val="both"/>
              <w:rPr>
                <w:rFonts w:cs="Arial"/>
                <w:sz w:val="20"/>
                <w:szCs w:val="20"/>
              </w:rPr>
            </w:pPr>
            <w:r>
              <w:rPr>
                <w:rFonts w:cs="Arial"/>
                <w:sz w:val="20"/>
                <w:szCs w:val="20"/>
              </w:rPr>
              <w:t>Preparing patients for surgery, preparing theatre lists and assisting with procedures in theatre (for surgical posts)</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Communication:</w:t>
            </w:r>
          </w:p>
          <w:p w:rsidR="0084225A" w:rsidRDefault="0084225A">
            <w:pPr>
              <w:jc w:val="both"/>
              <w:rPr>
                <w:rFonts w:cs="Arial"/>
                <w:sz w:val="20"/>
                <w:szCs w:val="20"/>
              </w:rPr>
            </w:pPr>
            <w:r>
              <w:rPr>
                <w:rFonts w:cs="Arial"/>
                <w:sz w:val="20"/>
                <w:szCs w:val="20"/>
              </w:rPr>
              <w:t>Close liaison with other members of the team and your Consultant(s)/GP educational supervisors concerning the care of your patients</w:t>
            </w:r>
          </w:p>
          <w:p w:rsidR="0084225A" w:rsidRDefault="0084225A">
            <w:pPr>
              <w:jc w:val="both"/>
              <w:rPr>
                <w:rFonts w:cs="Arial"/>
                <w:sz w:val="20"/>
                <w:szCs w:val="20"/>
              </w:rPr>
            </w:pPr>
            <w:r>
              <w:rPr>
                <w:rFonts w:cs="Arial"/>
                <w:sz w:val="20"/>
                <w:szCs w:val="20"/>
              </w:rPr>
              <w:t>Communication with patients, relatives, nurses, GPs and other colleagues.</w:t>
            </w:r>
          </w:p>
          <w:p w:rsidR="0084225A" w:rsidRDefault="0084225A">
            <w:pPr>
              <w:jc w:val="both"/>
              <w:rPr>
                <w:rFonts w:cs="Arial"/>
                <w:sz w:val="20"/>
                <w:szCs w:val="20"/>
              </w:rPr>
            </w:pPr>
            <w:r>
              <w:rPr>
                <w:rFonts w:cs="Arial"/>
                <w:sz w:val="20"/>
                <w:szCs w:val="20"/>
              </w:rPr>
              <w:t>Handover of patient information between shifts (hospital posts)</w:t>
            </w:r>
          </w:p>
          <w:p w:rsidR="0084225A" w:rsidRDefault="0084225A">
            <w:pPr>
              <w:jc w:val="both"/>
              <w:rPr>
                <w:rFonts w:cs="Arial"/>
                <w:sz w:val="20"/>
                <w:szCs w:val="20"/>
              </w:rPr>
            </w:pPr>
            <w:r>
              <w:rPr>
                <w:rFonts w:cs="Arial"/>
                <w:sz w:val="20"/>
                <w:szCs w:val="20"/>
              </w:rPr>
              <w:t>Referral of patients to other teams (hospital posts)</w:t>
            </w:r>
          </w:p>
          <w:p w:rsidR="0084225A" w:rsidRDefault="0084225A">
            <w:pPr>
              <w:jc w:val="both"/>
              <w:rPr>
                <w:rFonts w:cs="Arial"/>
                <w:sz w:val="20"/>
                <w:szCs w:val="20"/>
              </w:rPr>
            </w:pPr>
            <w:r>
              <w:rPr>
                <w:rFonts w:cs="Arial"/>
                <w:sz w:val="20"/>
                <w:szCs w:val="20"/>
              </w:rPr>
              <w:t xml:space="preserve">Discharge notification (hospital posts) </w:t>
            </w:r>
          </w:p>
          <w:p w:rsidR="0084225A" w:rsidRDefault="0084225A">
            <w:pPr>
              <w:jc w:val="both"/>
              <w:rPr>
                <w:rFonts w:cs="Arial"/>
                <w:sz w:val="20"/>
                <w:szCs w:val="20"/>
              </w:rPr>
            </w:pPr>
            <w:r>
              <w:rPr>
                <w:rFonts w:cs="Arial"/>
                <w:sz w:val="20"/>
                <w:szCs w:val="20"/>
              </w:rPr>
              <w:t>Death notification.</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Education/Audit/Governance:</w:t>
            </w:r>
          </w:p>
          <w:p w:rsidR="0084225A" w:rsidRDefault="0084225A">
            <w:pPr>
              <w:jc w:val="both"/>
              <w:rPr>
                <w:rFonts w:cs="Arial"/>
                <w:sz w:val="20"/>
                <w:szCs w:val="20"/>
              </w:rPr>
            </w:pPr>
            <w:r>
              <w:rPr>
                <w:rFonts w:cs="Arial"/>
                <w:sz w:val="20"/>
                <w:szCs w:val="20"/>
              </w:rPr>
              <w:t>Attendance at departmental/surgery meetings and educational seminars</w:t>
            </w:r>
          </w:p>
          <w:p w:rsidR="0084225A" w:rsidRDefault="0084225A">
            <w:pPr>
              <w:jc w:val="both"/>
              <w:rPr>
                <w:rFonts w:cs="Arial"/>
                <w:sz w:val="20"/>
                <w:szCs w:val="20"/>
              </w:rPr>
            </w:pPr>
            <w:r>
              <w:rPr>
                <w:rFonts w:cs="Arial"/>
                <w:sz w:val="20"/>
                <w:szCs w:val="20"/>
              </w:rPr>
              <w:t xml:space="preserve">Supervision of medical students.  </w:t>
            </w:r>
          </w:p>
          <w:p w:rsidR="0084225A" w:rsidRDefault="0084225A">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84225A" w:rsidRDefault="0084225A">
            <w:pPr>
              <w:jc w:val="both"/>
              <w:rPr>
                <w:rFonts w:cs="Arial"/>
                <w:sz w:val="20"/>
                <w:szCs w:val="20"/>
              </w:rPr>
            </w:pPr>
            <w:r>
              <w:rPr>
                <w:rFonts w:cs="Arial"/>
                <w:sz w:val="20"/>
                <w:szCs w:val="20"/>
              </w:rPr>
              <w:t>Maintaining professional standards as outlined in the GMC document 'Maintaining Good Medical Practice'</w:t>
            </w:r>
          </w:p>
          <w:p w:rsidR="0084225A" w:rsidRDefault="0084225A">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84225A" w:rsidRDefault="0084225A">
            <w:pPr>
              <w:jc w:val="both"/>
              <w:rPr>
                <w:rFonts w:cs="Arial"/>
                <w:sz w:val="20"/>
                <w:szCs w:val="20"/>
              </w:rPr>
            </w:pPr>
          </w:p>
          <w:p w:rsidR="0084225A" w:rsidRDefault="0084225A">
            <w:pPr>
              <w:jc w:val="both"/>
              <w:rPr>
                <w:rFonts w:cs="Arial"/>
                <w:sz w:val="20"/>
                <w:szCs w:val="20"/>
                <w:lang w:val="en-US" w:eastAsia="en-US"/>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t xml:space="preserve">Typical working pattern in this </w:t>
            </w:r>
            <w:r>
              <w:rPr>
                <w:rFonts w:cs="Arial"/>
                <w:sz w:val="20"/>
                <w:szCs w:val="20"/>
              </w:rPr>
              <w:lastRenderedPageBreak/>
              <w:t>placement</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r>
              <w:rPr>
                <w:rFonts w:cs="Arial"/>
                <w:sz w:val="20"/>
                <w:szCs w:val="20"/>
              </w:rPr>
              <w:lastRenderedPageBreak/>
              <w:t>All rotas are EWTD compliant, Full Shift and banded appropriately.</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 xml:space="preserve">You will work a number of different shifts, examples of which are below:         </w:t>
            </w:r>
          </w:p>
          <w:p w:rsidR="0084225A" w:rsidRDefault="0084225A">
            <w:pPr>
              <w:jc w:val="both"/>
              <w:rPr>
                <w:rFonts w:cs="Arial"/>
                <w:sz w:val="20"/>
                <w:szCs w:val="20"/>
              </w:rPr>
            </w:pPr>
          </w:p>
          <w:tbl>
            <w:tblPr>
              <w:tblW w:w="3260" w:type="dxa"/>
              <w:tblLook w:val="04A0" w:firstRow="1" w:lastRow="0" w:firstColumn="1" w:lastColumn="0" w:noHBand="0" w:noVBand="1"/>
            </w:tblPr>
            <w:tblGrid>
              <w:gridCol w:w="1340"/>
              <w:gridCol w:w="960"/>
              <w:gridCol w:w="960"/>
            </w:tblGrid>
            <w:tr w:rsidR="0084225A">
              <w:trPr>
                <w:trHeight w:val="255"/>
              </w:trPr>
              <w:tc>
                <w:tcPr>
                  <w:tcW w:w="1340" w:type="dxa"/>
                  <w:tcBorders>
                    <w:top w:val="single" w:sz="4" w:space="0" w:color="000000"/>
                    <w:left w:val="single" w:sz="4" w:space="0" w:color="000000"/>
                    <w:bottom w:val="single" w:sz="4" w:space="0" w:color="000000"/>
                    <w:right w:val="nil"/>
                  </w:tcBorders>
                  <w:shd w:val="clear" w:color="auto" w:fill="C0C0C0"/>
                  <w:hideMark/>
                </w:tcPr>
                <w:p w:rsidR="0084225A" w:rsidRDefault="0084225A">
                  <w:pPr>
                    <w:rPr>
                      <w:rFonts w:cs="Arial"/>
                      <w:b/>
                      <w:bCs/>
                      <w:color w:val="000000"/>
                      <w:sz w:val="16"/>
                      <w:szCs w:val="16"/>
                    </w:rPr>
                  </w:pPr>
                  <w:r>
                    <w:rPr>
                      <w:rFonts w:cs="Arial"/>
                      <w:b/>
                      <w:bCs/>
                      <w:color w:val="000000"/>
                      <w:sz w:val="16"/>
                      <w:szCs w:val="16"/>
                    </w:rPr>
                    <w:t>Work Pattern</w:t>
                  </w:r>
                </w:p>
              </w:tc>
              <w:tc>
                <w:tcPr>
                  <w:tcW w:w="960" w:type="dxa"/>
                  <w:tcBorders>
                    <w:top w:val="single" w:sz="4" w:space="0" w:color="000000"/>
                    <w:left w:val="single" w:sz="4" w:space="0" w:color="000000"/>
                    <w:bottom w:val="single" w:sz="4" w:space="0" w:color="000000"/>
                    <w:right w:val="nil"/>
                  </w:tcBorders>
                  <w:shd w:val="clear" w:color="auto" w:fill="C0C0C0"/>
                  <w:hideMark/>
                </w:tcPr>
                <w:p w:rsidR="0084225A" w:rsidRDefault="0084225A">
                  <w:pPr>
                    <w:rPr>
                      <w:rFonts w:cs="Arial"/>
                      <w:b/>
                      <w:bCs/>
                      <w:color w:val="000000"/>
                      <w:sz w:val="16"/>
                      <w:szCs w:val="16"/>
                    </w:rPr>
                  </w:pPr>
                  <w:r>
                    <w:rPr>
                      <w:rFonts w:cs="Arial"/>
                      <w:b/>
                      <w:bCs/>
                      <w:color w:val="000000"/>
                      <w:sz w:val="16"/>
                      <w:szCs w:val="16"/>
                    </w:rPr>
                    <w:t>Start</w:t>
                  </w:r>
                </w:p>
              </w:tc>
              <w:tc>
                <w:tcPr>
                  <w:tcW w:w="960" w:type="dxa"/>
                  <w:tcBorders>
                    <w:top w:val="single" w:sz="4" w:space="0" w:color="000000"/>
                    <w:left w:val="single" w:sz="4" w:space="0" w:color="000000"/>
                    <w:bottom w:val="single" w:sz="4" w:space="0" w:color="000000"/>
                    <w:right w:val="single" w:sz="4" w:space="0" w:color="000000"/>
                  </w:tcBorders>
                  <w:shd w:val="clear" w:color="auto" w:fill="C0C0C0"/>
                  <w:hideMark/>
                </w:tcPr>
                <w:p w:rsidR="0084225A" w:rsidRDefault="0084225A">
                  <w:pPr>
                    <w:jc w:val="center"/>
                    <w:rPr>
                      <w:rFonts w:cs="Arial"/>
                      <w:b/>
                      <w:bCs/>
                      <w:color w:val="000000"/>
                      <w:sz w:val="16"/>
                      <w:szCs w:val="16"/>
                    </w:rPr>
                  </w:pPr>
                  <w:r>
                    <w:rPr>
                      <w:rFonts w:cs="Arial"/>
                      <w:b/>
                      <w:bCs/>
                      <w:color w:val="000000"/>
                      <w:sz w:val="16"/>
                      <w:szCs w:val="16"/>
                    </w:rPr>
                    <w:t>Finish</w:t>
                  </w:r>
                </w:p>
              </w:tc>
            </w:tr>
            <w:tr w:rsidR="0084225A">
              <w:trPr>
                <w:trHeight w:val="255"/>
              </w:trPr>
              <w:tc>
                <w:tcPr>
                  <w:tcW w:w="1340" w:type="dxa"/>
                  <w:tcBorders>
                    <w:top w:val="nil"/>
                    <w:left w:val="single" w:sz="4" w:space="0" w:color="000000"/>
                    <w:bottom w:val="single" w:sz="4" w:space="0" w:color="000000"/>
                    <w:right w:val="nil"/>
                  </w:tcBorders>
                  <w:shd w:val="clear" w:color="auto" w:fill="FFFFFF"/>
                  <w:hideMark/>
                </w:tcPr>
                <w:p w:rsidR="0084225A" w:rsidRDefault="0084225A">
                  <w:pPr>
                    <w:rPr>
                      <w:rFonts w:cs="Arial"/>
                      <w:color w:val="000000"/>
                      <w:sz w:val="16"/>
                      <w:szCs w:val="16"/>
                    </w:rPr>
                  </w:pPr>
                  <w:r>
                    <w:rPr>
                      <w:rFonts w:cs="Arial"/>
                      <w:color w:val="000000"/>
                      <w:sz w:val="16"/>
                      <w:szCs w:val="16"/>
                    </w:rPr>
                    <w:t xml:space="preserve">Full Shift          </w:t>
                  </w:r>
                </w:p>
              </w:tc>
              <w:tc>
                <w:tcPr>
                  <w:tcW w:w="960" w:type="dxa"/>
                  <w:tcBorders>
                    <w:top w:val="nil"/>
                    <w:left w:val="single" w:sz="4" w:space="0" w:color="000000"/>
                    <w:bottom w:val="single" w:sz="4" w:space="0" w:color="000000"/>
                    <w:right w:val="nil"/>
                  </w:tcBorders>
                  <w:vAlign w:val="center"/>
                  <w:hideMark/>
                </w:tcPr>
                <w:p w:rsidR="0084225A" w:rsidRDefault="0084225A">
                  <w:pPr>
                    <w:rPr>
                      <w:rFonts w:cs="Arial"/>
                      <w:color w:val="000000"/>
                      <w:sz w:val="16"/>
                      <w:szCs w:val="16"/>
                    </w:rPr>
                  </w:pPr>
                  <w:r>
                    <w:rPr>
                      <w:rFonts w:cs="Arial"/>
                      <w:color w:val="000000"/>
                      <w:sz w:val="16"/>
                      <w:szCs w:val="16"/>
                    </w:rPr>
                    <w:t>13:30</w:t>
                  </w:r>
                </w:p>
              </w:tc>
              <w:tc>
                <w:tcPr>
                  <w:tcW w:w="960" w:type="dxa"/>
                  <w:tcBorders>
                    <w:top w:val="nil"/>
                    <w:left w:val="single" w:sz="4" w:space="0" w:color="000000"/>
                    <w:bottom w:val="single" w:sz="4" w:space="0" w:color="000000"/>
                    <w:right w:val="single" w:sz="4" w:space="0" w:color="000000"/>
                  </w:tcBorders>
                  <w:vAlign w:val="center"/>
                  <w:hideMark/>
                </w:tcPr>
                <w:p w:rsidR="0084225A" w:rsidRDefault="0084225A">
                  <w:pPr>
                    <w:jc w:val="center"/>
                    <w:rPr>
                      <w:rFonts w:cs="Arial"/>
                      <w:color w:val="000000"/>
                      <w:sz w:val="16"/>
                      <w:szCs w:val="16"/>
                    </w:rPr>
                  </w:pPr>
                  <w:r>
                    <w:rPr>
                      <w:rFonts w:cs="Arial"/>
                      <w:color w:val="000000"/>
                      <w:sz w:val="16"/>
                      <w:szCs w:val="16"/>
                    </w:rPr>
                    <w:t>21:30</w:t>
                  </w:r>
                </w:p>
              </w:tc>
            </w:tr>
            <w:tr w:rsidR="0084225A">
              <w:trPr>
                <w:trHeight w:val="255"/>
              </w:trPr>
              <w:tc>
                <w:tcPr>
                  <w:tcW w:w="1340" w:type="dxa"/>
                  <w:tcBorders>
                    <w:top w:val="nil"/>
                    <w:left w:val="single" w:sz="4" w:space="0" w:color="000000"/>
                    <w:bottom w:val="single" w:sz="4" w:space="0" w:color="000000"/>
                    <w:right w:val="nil"/>
                  </w:tcBorders>
                  <w:shd w:val="clear" w:color="auto" w:fill="FFFFFF"/>
                  <w:hideMark/>
                </w:tcPr>
                <w:p w:rsidR="0084225A" w:rsidRDefault="0084225A">
                  <w:pPr>
                    <w:rPr>
                      <w:rFonts w:cs="Arial"/>
                      <w:color w:val="000000"/>
                      <w:sz w:val="16"/>
                      <w:szCs w:val="16"/>
                    </w:rPr>
                  </w:pPr>
                  <w:r>
                    <w:rPr>
                      <w:rFonts w:cs="Arial"/>
                      <w:color w:val="000000"/>
                      <w:sz w:val="16"/>
                      <w:szCs w:val="16"/>
                    </w:rPr>
                    <w:t xml:space="preserve">Annual Leave        </w:t>
                  </w:r>
                </w:p>
              </w:tc>
              <w:tc>
                <w:tcPr>
                  <w:tcW w:w="960" w:type="dxa"/>
                  <w:tcBorders>
                    <w:top w:val="nil"/>
                    <w:left w:val="single" w:sz="4" w:space="0" w:color="000000"/>
                    <w:bottom w:val="single" w:sz="4" w:space="0" w:color="000000"/>
                    <w:right w:val="nil"/>
                  </w:tcBorders>
                  <w:vAlign w:val="center"/>
                  <w:hideMark/>
                </w:tcPr>
                <w:p w:rsidR="0084225A" w:rsidRDefault="0084225A">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84225A" w:rsidRDefault="0084225A">
                  <w:pPr>
                    <w:jc w:val="center"/>
                    <w:rPr>
                      <w:rFonts w:cs="Arial"/>
                      <w:color w:val="000000"/>
                      <w:sz w:val="16"/>
                      <w:szCs w:val="16"/>
                    </w:rPr>
                  </w:pPr>
                  <w:r>
                    <w:rPr>
                      <w:rFonts w:cs="Arial"/>
                      <w:color w:val="000000"/>
                      <w:sz w:val="16"/>
                      <w:szCs w:val="16"/>
                    </w:rPr>
                    <w:t>17:00</w:t>
                  </w:r>
                </w:p>
              </w:tc>
            </w:tr>
            <w:tr w:rsidR="0084225A">
              <w:trPr>
                <w:trHeight w:val="255"/>
              </w:trPr>
              <w:tc>
                <w:tcPr>
                  <w:tcW w:w="1340" w:type="dxa"/>
                  <w:tcBorders>
                    <w:top w:val="nil"/>
                    <w:left w:val="single" w:sz="4" w:space="0" w:color="000000"/>
                    <w:bottom w:val="single" w:sz="4" w:space="0" w:color="000000"/>
                    <w:right w:val="nil"/>
                  </w:tcBorders>
                  <w:shd w:val="clear" w:color="auto" w:fill="FFFFFF"/>
                  <w:hideMark/>
                </w:tcPr>
                <w:p w:rsidR="0084225A" w:rsidRDefault="0084225A">
                  <w:pPr>
                    <w:rPr>
                      <w:rFonts w:cs="Arial"/>
                      <w:color w:val="000000"/>
                      <w:sz w:val="16"/>
                      <w:szCs w:val="16"/>
                    </w:rPr>
                  </w:pPr>
                  <w:r>
                    <w:rPr>
                      <w:rFonts w:cs="Arial"/>
                      <w:color w:val="000000"/>
                      <w:sz w:val="16"/>
                      <w:szCs w:val="16"/>
                    </w:rPr>
                    <w:t xml:space="preserve">NWD                 </w:t>
                  </w:r>
                </w:p>
              </w:tc>
              <w:tc>
                <w:tcPr>
                  <w:tcW w:w="960" w:type="dxa"/>
                  <w:tcBorders>
                    <w:top w:val="nil"/>
                    <w:left w:val="single" w:sz="4" w:space="0" w:color="000000"/>
                    <w:bottom w:val="single" w:sz="4" w:space="0" w:color="000000"/>
                    <w:right w:val="nil"/>
                  </w:tcBorders>
                  <w:vAlign w:val="center"/>
                  <w:hideMark/>
                </w:tcPr>
                <w:p w:rsidR="0084225A" w:rsidRDefault="0084225A">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84225A" w:rsidRDefault="0084225A">
                  <w:pPr>
                    <w:jc w:val="center"/>
                    <w:rPr>
                      <w:rFonts w:cs="Arial"/>
                      <w:color w:val="000000"/>
                      <w:sz w:val="16"/>
                      <w:szCs w:val="16"/>
                    </w:rPr>
                  </w:pPr>
                  <w:r>
                    <w:rPr>
                      <w:rFonts w:cs="Arial"/>
                      <w:color w:val="000000"/>
                      <w:sz w:val="16"/>
                      <w:szCs w:val="16"/>
                    </w:rPr>
                    <w:t>17:00</w:t>
                  </w:r>
                </w:p>
              </w:tc>
            </w:tr>
            <w:tr w:rsidR="0084225A">
              <w:trPr>
                <w:trHeight w:val="255"/>
              </w:trPr>
              <w:tc>
                <w:tcPr>
                  <w:tcW w:w="1340" w:type="dxa"/>
                  <w:tcBorders>
                    <w:top w:val="nil"/>
                    <w:left w:val="single" w:sz="4" w:space="0" w:color="000000"/>
                    <w:bottom w:val="single" w:sz="4" w:space="0" w:color="000000"/>
                    <w:right w:val="nil"/>
                  </w:tcBorders>
                  <w:shd w:val="clear" w:color="auto" w:fill="FFFFFF"/>
                  <w:hideMark/>
                </w:tcPr>
                <w:p w:rsidR="0084225A" w:rsidRDefault="0084225A">
                  <w:pPr>
                    <w:rPr>
                      <w:rFonts w:cs="Arial"/>
                      <w:color w:val="000000"/>
                      <w:sz w:val="16"/>
                      <w:szCs w:val="16"/>
                    </w:rPr>
                  </w:pPr>
                  <w:r>
                    <w:rPr>
                      <w:rFonts w:cs="Arial"/>
                      <w:color w:val="000000"/>
                      <w:sz w:val="16"/>
                      <w:szCs w:val="16"/>
                    </w:rPr>
                    <w:t xml:space="preserve">Full Shift          </w:t>
                  </w:r>
                </w:p>
              </w:tc>
              <w:tc>
                <w:tcPr>
                  <w:tcW w:w="960" w:type="dxa"/>
                  <w:tcBorders>
                    <w:top w:val="nil"/>
                    <w:left w:val="single" w:sz="4" w:space="0" w:color="000000"/>
                    <w:bottom w:val="single" w:sz="4" w:space="0" w:color="000000"/>
                    <w:right w:val="nil"/>
                  </w:tcBorders>
                  <w:vAlign w:val="center"/>
                  <w:hideMark/>
                </w:tcPr>
                <w:p w:rsidR="0084225A" w:rsidRDefault="0084225A">
                  <w:pPr>
                    <w:rPr>
                      <w:rFonts w:cs="Arial"/>
                      <w:color w:val="000000"/>
                      <w:sz w:val="16"/>
                      <w:szCs w:val="16"/>
                    </w:rPr>
                  </w:pPr>
                  <w:r>
                    <w:rPr>
                      <w:rFonts w:cs="Arial"/>
                      <w:color w:val="000000"/>
                      <w:sz w:val="16"/>
                      <w:szCs w:val="16"/>
                    </w:rPr>
                    <w:t>8:00</w:t>
                  </w:r>
                </w:p>
              </w:tc>
              <w:tc>
                <w:tcPr>
                  <w:tcW w:w="960" w:type="dxa"/>
                  <w:tcBorders>
                    <w:top w:val="nil"/>
                    <w:left w:val="single" w:sz="4" w:space="0" w:color="000000"/>
                    <w:bottom w:val="single" w:sz="4" w:space="0" w:color="000000"/>
                    <w:right w:val="single" w:sz="4" w:space="0" w:color="000000"/>
                  </w:tcBorders>
                  <w:vAlign w:val="center"/>
                  <w:hideMark/>
                </w:tcPr>
                <w:p w:rsidR="0084225A" w:rsidRDefault="0084225A">
                  <w:pPr>
                    <w:jc w:val="center"/>
                    <w:rPr>
                      <w:rFonts w:cs="Arial"/>
                      <w:color w:val="000000"/>
                      <w:sz w:val="16"/>
                      <w:szCs w:val="16"/>
                    </w:rPr>
                  </w:pPr>
                  <w:r>
                    <w:rPr>
                      <w:rFonts w:cs="Arial"/>
                      <w:color w:val="000000"/>
                      <w:sz w:val="16"/>
                      <w:szCs w:val="16"/>
                    </w:rPr>
                    <w:t>17:00</w:t>
                  </w:r>
                </w:p>
              </w:tc>
            </w:tr>
            <w:tr w:rsidR="0084225A">
              <w:trPr>
                <w:trHeight w:val="255"/>
              </w:trPr>
              <w:tc>
                <w:tcPr>
                  <w:tcW w:w="1340" w:type="dxa"/>
                  <w:tcBorders>
                    <w:top w:val="nil"/>
                    <w:left w:val="single" w:sz="4" w:space="0" w:color="000000"/>
                    <w:bottom w:val="single" w:sz="4" w:space="0" w:color="000000"/>
                    <w:right w:val="nil"/>
                  </w:tcBorders>
                  <w:shd w:val="clear" w:color="auto" w:fill="FFFFFF"/>
                  <w:hideMark/>
                </w:tcPr>
                <w:p w:rsidR="0084225A" w:rsidRDefault="0084225A">
                  <w:pPr>
                    <w:rPr>
                      <w:rFonts w:cs="Arial"/>
                      <w:color w:val="000000"/>
                      <w:sz w:val="16"/>
                      <w:szCs w:val="16"/>
                    </w:rPr>
                  </w:pPr>
                  <w:r>
                    <w:rPr>
                      <w:rFonts w:cs="Arial"/>
                      <w:color w:val="000000"/>
                      <w:sz w:val="16"/>
                      <w:szCs w:val="16"/>
                    </w:rPr>
                    <w:t xml:space="preserve">Full Shift          </w:t>
                  </w:r>
                </w:p>
              </w:tc>
              <w:tc>
                <w:tcPr>
                  <w:tcW w:w="960" w:type="dxa"/>
                  <w:tcBorders>
                    <w:top w:val="nil"/>
                    <w:left w:val="single" w:sz="4" w:space="0" w:color="000000"/>
                    <w:bottom w:val="single" w:sz="4" w:space="0" w:color="000000"/>
                    <w:right w:val="nil"/>
                  </w:tcBorders>
                  <w:vAlign w:val="center"/>
                  <w:hideMark/>
                </w:tcPr>
                <w:p w:rsidR="0084225A" w:rsidRDefault="0084225A">
                  <w:pPr>
                    <w:rPr>
                      <w:rFonts w:cs="Arial"/>
                      <w:color w:val="000000"/>
                      <w:sz w:val="16"/>
                      <w:szCs w:val="16"/>
                    </w:rPr>
                  </w:pPr>
                  <w:r>
                    <w:rPr>
                      <w:rFonts w:cs="Arial"/>
                      <w:color w:val="000000"/>
                      <w:sz w:val="16"/>
                      <w:szCs w:val="16"/>
                    </w:rPr>
                    <w:t>8:00</w:t>
                  </w:r>
                </w:p>
              </w:tc>
              <w:tc>
                <w:tcPr>
                  <w:tcW w:w="960" w:type="dxa"/>
                  <w:tcBorders>
                    <w:top w:val="nil"/>
                    <w:left w:val="single" w:sz="4" w:space="0" w:color="000000"/>
                    <w:bottom w:val="single" w:sz="4" w:space="0" w:color="000000"/>
                    <w:right w:val="single" w:sz="4" w:space="0" w:color="000000"/>
                  </w:tcBorders>
                  <w:vAlign w:val="center"/>
                  <w:hideMark/>
                </w:tcPr>
                <w:p w:rsidR="0084225A" w:rsidRDefault="0084225A">
                  <w:pPr>
                    <w:jc w:val="center"/>
                    <w:rPr>
                      <w:rFonts w:cs="Arial"/>
                      <w:color w:val="000000"/>
                      <w:sz w:val="16"/>
                      <w:szCs w:val="16"/>
                    </w:rPr>
                  </w:pPr>
                  <w:r>
                    <w:rPr>
                      <w:rFonts w:cs="Arial"/>
                      <w:color w:val="000000"/>
                      <w:sz w:val="16"/>
                      <w:szCs w:val="16"/>
                    </w:rPr>
                    <w:t>21:00</w:t>
                  </w:r>
                </w:p>
              </w:tc>
            </w:tr>
            <w:tr w:rsidR="0084225A">
              <w:trPr>
                <w:trHeight w:val="255"/>
              </w:trPr>
              <w:tc>
                <w:tcPr>
                  <w:tcW w:w="1340" w:type="dxa"/>
                  <w:tcBorders>
                    <w:top w:val="nil"/>
                    <w:left w:val="single" w:sz="4" w:space="0" w:color="000000"/>
                    <w:bottom w:val="single" w:sz="4" w:space="0" w:color="000000"/>
                    <w:right w:val="nil"/>
                  </w:tcBorders>
                  <w:shd w:val="clear" w:color="auto" w:fill="FFFFFF"/>
                  <w:hideMark/>
                </w:tcPr>
                <w:p w:rsidR="0084225A" w:rsidRDefault="0084225A">
                  <w:pPr>
                    <w:rPr>
                      <w:rFonts w:cs="Arial"/>
                      <w:color w:val="000000"/>
                      <w:sz w:val="16"/>
                      <w:szCs w:val="16"/>
                    </w:rPr>
                  </w:pPr>
                  <w:r>
                    <w:rPr>
                      <w:rFonts w:cs="Arial"/>
                      <w:color w:val="000000"/>
                      <w:sz w:val="16"/>
                      <w:szCs w:val="16"/>
                    </w:rPr>
                    <w:t xml:space="preserve">Full Shift          </w:t>
                  </w:r>
                </w:p>
              </w:tc>
              <w:tc>
                <w:tcPr>
                  <w:tcW w:w="960" w:type="dxa"/>
                  <w:tcBorders>
                    <w:top w:val="nil"/>
                    <w:left w:val="single" w:sz="4" w:space="0" w:color="000000"/>
                    <w:bottom w:val="single" w:sz="4" w:space="0" w:color="000000"/>
                    <w:right w:val="nil"/>
                  </w:tcBorders>
                  <w:vAlign w:val="center"/>
                  <w:hideMark/>
                </w:tcPr>
                <w:p w:rsidR="0084225A" w:rsidRDefault="0084225A">
                  <w:pPr>
                    <w:rPr>
                      <w:rFonts w:cs="Arial"/>
                      <w:color w:val="000000"/>
                      <w:sz w:val="16"/>
                      <w:szCs w:val="16"/>
                    </w:rPr>
                  </w:pPr>
                  <w:r>
                    <w:rPr>
                      <w:rFonts w:cs="Arial"/>
                      <w:color w:val="000000"/>
                      <w:sz w:val="16"/>
                      <w:szCs w:val="16"/>
                    </w:rPr>
                    <w:t>9:00</w:t>
                  </w:r>
                </w:p>
              </w:tc>
              <w:tc>
                <w:tcPr>
                  <w:tcW w:w="960" w:type="dxa"/>
                  <w:tcBorders>
                    <w:top w:val="nil"/>
                    <w:left w:val="single" w:sz="4" w:space="0" w:color="000000"/>
                    <w:bottom w:val="single" w:sz="4" w:space="0" w:color="000000"/>
                    <w:right w:val="single" w:sz="4" w:space="0" w:color="000000"/>
                  </w:tcBorders>
                  <w:vAlign w:val="center"/>
                  <w:hideMark/>
                </w:tcPr>
                <w:p w:rsidR="0084225A" w:rsidRDefault="0084225A">
                  <w:pPr>
                    <w:jc w:val="center"/>
                    <w:rPr>
                      <w:rFonts w:cs="Arial"/>
                      <w:color w:val="000000"/>
                      <w:sz w:val="16"/>
                      <w:szCs w:val="16"/>
                    </w:rPr>
                  </w:pPr>
                  <w:r>
                    <w:rPr>
                      <w:rFonts w:cs="Arial"/>
                      <w:color w:val="000000"/>
                      <w:sz w:val="16"/>
                      <w:szCs w:val="16"/>
                    </w:rPr>
                    <w:t>21:00</w:t>
                  </w:r>
                </w:p>
              </w:tc>
            </w:tr>
          </w:tbl>
          <w:p w:rsidR="0084225A" w:rsidRDefault="0084225A">
            <w:pPr>
              <w:jc w:val="both"/>
              <w:rPr>
                <w:rFonts w:cs="Arial"/>
                <w:sz w:val="20"/>
                <w:szCs w:val="20"/>
                <w:lang w:val="en-US" w:eastAsia="en-US"/>
              </w:rPr>
            </w:pPr>
            <w:r>
              <w:rPr>
                <w:rFonts w:cs="Arial"/>
                <w:sz w:val="20"/>
                <w:szCs w:val="20"/>
              </w:rPr>
              <w:t xml:space="preserve"> </w:t>
            </w:r>
          </w:p>
        </w:tc>
      </w:tr>
      <w:tr w:rsidR="0084225A" w:rsidTr="0084225A">
        <w:trPr>
          <w:trHeight w:val="144"/>
        </w:trPr>
        <w:tc>
          <w:tcPr>
            <w:tcW w:w="3420" w:type="dxa"/>
            <w:tcBorders>
              <w:top w:val="single" w:sz="4" w:space="0" w:color="auto"/>
              <w:left w:val="single" w:sz="4" w:space="0" w:color="auto"/>
              <w:bottom w:val="single" w:sz="4" w:space="0" w:color="auto"/>
              <w:right w:val="single" w:sz="4" w:space="0" w:color="auto"/>
            </w:tcBorders>
            <w:hideMark/>
          </w:tcPr>
          <w:p w:rsidR="0084225A" w:rsidRDefault="0084225A">
            <w:pPr>
              <w:rPr>
                <w:rFonts w:cs="Arial"/>
                <w:sz w:val="20"/>
                <w:szCs w:val="20"/>
                <w:lang w:val="en-US" w:eastAsia="en-US"/>
              </w:rPr>
            </w:pPr>
            <w:r>
              <w:rPr>
                <w:rFonts w:cs="Arial"/>
                <w:sz w:val="20"/>
                <w:szCs w:val="20"/>
              </w:rPr>
              <w:lastRenderedPageBreak/>
              <w:t>Employer information</w:t>
            </w:r>
          </w:p>
        </w:tc>
        <w:tc>
          <w:tcPr>
            <w:tcW w:w="6120" w:type="dxa"/>
            <w:tcBorders>
              <w:top w:val="single" w:sz="4" w:space="0" w:color="auto"/>
              <w:left w:val="single" w:sz="4" w:space="0" w:color="auto"/>
              <w:bottom w:val="single" w:sz="4" w:space="0" w:color="auto"/>
              <w:right w:val="single" w:sz="4" w:space="0" w:color="auto"/>
            </w:tcBorders>
          </w:tcPr>
          <w:p w:rsidR="0084225A" w:rsidRDefault="0084225A">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Norfolk and Norwich 21st Century Healthcare</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w:t>
            </w:r>
            <w:r>
              <w:rPr>
                <w:rFonts w:cs="Arial"/>
                <w:sz w:val="20"/>
                <w:szCs w:val="20"/>
              </w:rPr>
              <w:lastRenderedPageBreak/>
              <w:t>600,000 patients drawn from Norfolk, surrounding counties and other parts of the country, and without our staff, none of the progress we are making would be possible.</w:t>
            </w:r>
          </w:p>
          <w:p w:rsidR="0084225A" w:rsidRDefault="0084225A">
            <w:pPr>
              <w:jc w:val="both"/>
              <w:rPr>
                <w:rFonts w:cs="Arial"/>
                <w:sz w:val="20"/>
                <w:szCs w:val="20"/>
              </w:rPr>
            </w:pPr>
          </w:p>
          <w:p w:rsidR="0084225A" w:rsidRDefault="0084225A">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84225A" w:rsidRDefault="0084225A">
            <w:pPr>
              <w:jc w:val="both"/>
              <w:rPr>
                <w:rFonts w:cs="Arial"/>
                <w:sz w:val="20"/>
                <w:szCs w:val="20"/>
                <w:lang w:val="en-US" w:eastAsia="en-US"/>
              </w:rPr>
            </w:pPr>
          </w:p>
        </w:tc>
      </w:tr>
    </w:tbl>
    <w:p w:rsidR="0084225A" w:rsidRDefault="0084225A" w:rsidP="0084225A">
      <w:pPr>
        <w:rPr>
          <w:rFonts w:cs="Arial"/>
          <w:sz w:val="22"/>
          <w:szCs w:val="22"/>
          <w:lang w:val="en-US" w:eastAsia="en-US"/>
        </w:rPr>
      </w:pPr>
    </w:p>
    <w:p w:rsidR="0084225A" w:rsidRDefault="0084225A" w:rsidP="0084225A">
      <w:pPr>
        <w:rPr>
          <w:rFonts w:cs="Arial"/>
          <w:sz w:val="22"/>
          <w:szCs w:val="22"/>
        </w:rPr>
      </w:pPr>
      <w:r>
        <w:rPr>
          <w:rFonts w:cs="Arial"/>
          <w:sz w:val="22"/>
          <w:szCs w:val="22"/>
        </w:rPr>
        <w:t>It is important to note that this description is a typical example of your placement and may be subject to change.</w:t>
      </w:r>
    </w:p>
    <w:p w:rsidR="00DF21D4" w:rsidRPr="0084225A" w:rsidRDefault="00DF21D4" w:rsidP="0084225A"/>
    <w:sectPr w:rsidR="00DF21D4" w:rsidRPr="0084225A"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2016-09-22T14:59:00Z</dcterms:created>
  <dcterms:modified xsi:type="dcterms:W3CDTF">2016-09-22T14:59:00Z</dcterms:modified>
</cp:coreProperties>
</file>