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C2" w:rsidRDefault="008812C2" w:rsidP="008812C2">
      <w:pPr>
        <w:tabs>
          <w:tab w:val="center" w:pos="5040"/>
          <w:tab w:val="right" w:pos="9900"/>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bookmarkStart w:id="0" w:name="_GoBack"/>
      <w:bookmarkEnd w:id="0"/>
    </w:p>
    <w:p w:rsidR="008812C2" w:rsidRDefault="008812C2" w:rsidP="008812C2">
      <w:pPr>
        <w:jc w:val="center"/>
        <w:rPr>
          <w:rFonts w:ascii="Times New Roman" w:hAnsi="Times New Roman"/>
          <w:b/>
        </w:rPr>
      </w:pPr>
    </w:p>
    <w:p w:rsidR="008812C2" w:rsidRDefault="008812C2" w:rsidP="008812C2">
      <w:pPr>
        <w:jc w:val="center"/>
        <w:outlineLvl w:val="0"/>
        <w:rPr>
          <w:rFonts w:cs="Arial"/>
          <w:b/>
        </w:rPr>
      </w:pPr>
      <w:r>
        <w:rPr>
          <w:rFonts w:cs="Arial"/>
          <w:b/>
        </w:rPr>
        <w:t>East Anglia Foundation School</w:t>
      </w:r>
    </w:p>
    <w:p w:rsidR="008812C2" w:rsidRDefault="008812C2" w:rsidP="008812C2">
      <w:pPr>
        <w:jc w:val="center"/>
        <w:outlineLvl w:val="0"/>
        <w:rPr>
          <w:rFonts w:cs="Arial"/>
          <w:b/>
        </w:rPr>
      </w:pPr>
      <w:r>
        <w:rPr>
          <w:rFonts w:cs="Arial"/>
          <w:b/>
        </w:rPr>
        <w:t xml:space="preserve">Individual Placement Description </w:t>
      </w:r>
    </w:p>
    <w:p w:rsidR="008812C2" w:rsidRDefault="008812C2" w:rsidP="008812C2">
      <w:pPr>
        <w:jc w:val="center"/>
        <w:rPr>
          <w:rFonts w:cs="Arial"/>
          <w:b/>
        </w:rPr>
      </w:pPr>
    </w:p>
    <w:p w:rsidR="008812C2" w:rsidRDefault="008812C2" w:rsidP="008812C2">
      <w:pPr>
        <w:jc w:val="center"/>
        <w:outlineLvl w:val="0"/>
        <w:rPr>
          <w:rFonts w:cs="Arial"/>
          <w:b/>
        </w:rPr>
      </w:pPr>
      <w:r>
        <w:rPr>
          <w:rFonts w:cs="Arial"/>
          <w:b/>
        </w:rPr>
        <w:t>Peterborough and Stamford Hospitals NHS Foundation Trust</w:t>
      </w:r>
    </w:p>
    <w:p w:rsidR="008812C2" w:rsidRDefault="008812C2" w:rsidP="008812C2">
      <w:pPr>
        <w:rPr>
          <w:rFonts w:ascii="Times New Roman" w:hAnsi="Times New Roman"/>
          <w:b/>
        </w:rPr>
      </w:pPr>
    </w:p>
    <w:p w:rsidR="008812C2" w:rsidRDefault="008812C2" w:rsidP="008812C2">
      <w:pPr>
        <w:rPr>
          <w:rFonts w:ascii="Times New Roman" w:hAnsi="Times New Roman"/>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8812C2" w:rsidTr="008812C2">
        <w:trPr>
          <w:trHeight w:val="411"/>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F2 Orthopaedics</w:t>
            </w:r>
          </w:p>
        </w:tc>
      </w:tr>
      <w:tr w:rsidR="008812C2" w:rsidTr="008812C2">
        <w:trPr>
          <w:trHeight w:val="351"/>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The department</w:t>
            </w:r>
          </w:p>
        </w:tc>
        <w:tc>
          <w:tcPr>
            <w:tcW w:w="5257" w:type="dxa"/>
            <w:tcBorders>
              <w:top w:val="single" w:sz="4" w:space="0" w:color="auto"/>
              <w:left w:val="single" w:sz="4" w:space="0" w:color="auto"/>
              <w:bottom w:val="single" w:sz="4" w:space="0" w:color="auto"/>
              <w:right w:val="single" w:sz="4" w:space="0" w:color="auto"/>
            </w:tcBorders>
          </w:tcPr>
          <w:p w:rsidR="008812C2" w:rsidRDefault="008812C2">
            <w:pPr>
              <w:rPr>
                <w:rFonts w:eastAsia="Calibri" w:cs="Arial"/>
                <w:sz w:val="20"/>
                <w:szCs w:val="20"/>
                <w:lang w:eastAsia="en-US"/>
              </w:rPr>
            </w:pPr>
            <w:r>
              <w:rPr>
                <w:rFonts w:cs="Arial"/>
                <w:sz w:val="20"/>
                <w:szCs w:val="20"/>
              </w:rPr>
              <w:t xml:space="preserve">The Trust provides a comprehensive Orthopaedic service. There are two elective wards and one trauma ward. </w:t>
            </w:r>
          </w:p>
          <w:p w:rsidR="008812C2" w:rsidRDefault="008812C2">
            <w:pPr>
              <w:rPr>
                <w:rFonts w:cs="Arial"/>
                <w:sz w:val="20"/>
                <w:szCs w:val="20"/>
              </w:rPr>
            </w:pPr>
          </w:p>
          <w:p w:rsidR="008812C2" w:rsidRDefault="008812C2">
            <w:pPr>
              <w:rPr>
                <w:rFonts w:cs="Arial"/>
                <w:sz w:val="20"/>
                <w:szCs w:val="20"/>
              </w:rPr>
            </w:pPr>
            <w:r>
              <w:rPr>
                <w:rFonts w:cs="Arial"/>
                <w:sz w:val="20"/>
                <w:szCs w:val="20"/>
              </w:rPr>
              <w:t xml:space="preserve">There is a full range of Consultant special interests including: Hip Fracture &amp; Revision Hip Surgery, Upper Limb &amp; Hand, Lower Limb, Knee, Foot &amp; Ankle, Lower Limb Arthroplasty, </w:t>
            </w:r>
            <w:proofErr w:type="gramStart"/>
            <w:r>
              <w:rPr>
                <w:rFonts w:cs="Arial"/>
                <w:sz w:val="20"/>
                <w:szCs w:val="20"/>
              </w:rPr>
              <w:t>Paediatric</w:t>
            </w:r>
            <w:proofErr w:type="gramEnd"/>
            <w:r>
              <w:rPr>
                <w:rFonts w:cs="Arial"/>
                <w:sz w:val="20"/>
                <w:szCs w:val="20"/>
              </w:rPr>
              <w:t xml:space="preserve"> Orthopaedic Surgery. The Department is known nationally and internationally for its Hip Fracture Project.</w:t>
            </w:r>
          </w:p>
          <w:p w:rsidR="008812C2" w:rsidRDefault="008812C2">
            <w:pPr>
              <w:rPr>
                <w:rFonts w:cs="Arial"/>
                <w:b/>
                <w:sz w:val="20"/>
                <w:szCs w:val="20"/>
                <w:u w:val="single"/>
              </w:rPr>
            </w:pPr>
          </w:p>
          <w:p w:rsidR="008812C2" w:rsidRDefault="008812C2">
            <w:pPr>
              <w:rPr>
                <w:rFonts w:cs="Arial"/>
                <w:sz w:val="20"/>
                <w:szCs w:val="20"/>
              </w:rPr>
            </w:pPr>
            <w:r>
              <w:rPr>
                <w:rFonts w:cs="Arial"/>
                <w:sz w:val="20"/>
                <w:szCs w:val="20"/>
              </w:rPr>
              <w:t>The work of the Orthopaedic Department is supported by comprehensive Occupational Therapy and Physiotherapy (including Hydrotherapy) sessions.</w:t>
            </w:r>
          </w:p>
          <w:p w:rsidR="008812C2" w:rsidRDefault="008812C2">
            <w:pPr>
              <w:rPr>
                <w:rFonts w:eastAsia="Calibri" w:cs="Arial"/>
                <w:i/>
                <w:color w:val="FF0000"/>
                <w:sz w:val="20"/>
                <w:szCs w:val="20"/>
                <w:lang w:eastAsia="en-US"/>
              </w:rPr>
            </w:pPr>
          </w:p>
        </w:tc>
      </w:tr>
      <w:tr w:rsidR="008812C2" w:rsidTr="008812C2">
        <w:trPr>
          <w:trHeight w:val="144"/>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8812C2" w:rsidRDefault="008812C2">
            <w:pPr>
              <w:rPr>
                <w:rFonts w:eastAsia="Calibri"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8812C2" w:rsidRDefault="008812C2">
            <w:pPr>
              <w:rPr>
                <w:rFonts w:cs="Arial"/>
                <w:sz w:val="20"/>
                <w:szCs w:val="20"/>
              </w:rPr>
            </w:pPr>
            <w:r>
              <w:rPr>
                <w:rFonts w:cs="Arial"/>
                <w:sz w:val="20"/>
                <w:szCs w:val="20"/>
              </w:rPr>
              <w:t>The overall educational objectives of the F2 year are to provide the trainee with the knowledge, skills and attitudes to be able to:</w:t>
            </w:r>
          </w:p>
          <w:p w:rsidR="008812C2" w:rsidRDefault="008812C2" w:rsidP="0035783F">
            <w:pPr>
              <w:numPr>
                <w:ilvl w:val="0"/>
                <w:numId w:val="1"/>
              </w:numPr>
              <w:rPr>
                <w:rFonts w:cs="Arial"/>
                <w:sz w:val="20"/>
                <w:szCs w:val="20"/>
              </w:rPr>
            </w:pPr>
            <w:r>
              <w:rPr>
                <w:rFonts w:cs="Arial"/>
                <w:sz w:val="20"/>
                <w:szCs w:val="20"/>
              </w:rPr>
              <w:t>Take a history and examine a patient</w:t>
            </w:r>
          </w:p>
          <w:p w:rsidR="008812C2" w:rsidRDefault="008812C2" w:rsidP="0035783F">
            <w:pPr>
              <w:numPr>
                <w:ilvl w:val="0"/>
                <w:numId w:val="1"/>
              </w:numPr>
              <w:rPr>
                <w:rFonts w:cs="Arial"/>
                <w:sz w:val="20"/>
                <w:szCs w:val="20"/>
              </w:rPr>
            </w:pPr>
            <w:r>
              <w:rPr>
                <w:rFonts w:cs="Arial"/>
                <w:sz w:val="20"/>
                <w:szCs w:val="20"/>
              </w:rPr>
              <w:t>Identify and synthesise problems</w:t>
            </w:r>
          </w:p>
          <w:p w:rsidR="008812C2" w:rsidRDefault="008812C2" w:rsidP="0035783F">
            <w:pPr>
              <w:numPr>
                <w:ilvl w:val="0"/>
                <w:numId w:val="1"/>
              </w:numPr>
              <w:rPr>
                <w:rFonts w:cs="Arial"/>
                <w:sz w:val="20"/>
                <w:szCs w:val="20"/>
              </w:rPr>
            </w:pPr>
            <w:r>
              <w:rPr>
                <w:rFonts w:cs="Arial"/>
                <w:sz w:val="20"/>
                <w:szCs w:val="20"/>
              </w:rPr>
              <w:t>Prescribe safely</w:t>
            </w:r>
          </w:p>
          <w:p w:rsidR="008812C2" w:rsidRDefault="008812C2" w:rsidP="0035783F">
            <w:pPr>
              <w:numPr>
                <w:ilvl w:val="0"/>
                <w:numId w:val="1"/>
              </w:numPr>
              <w:rPr>
                <w:rFonts w:cs="Arial"/>
                <w:sz w:val="20"/>
                <w:szCs w:val="20"/>
              </w:rPr>
            </w:pPr>
            <w:r>
              <w:rPr>
                <w:rFonts w:cs="Arial"/>
                <w:sz w:val="20"/>
                <w:szCs w:val="20"/>
              </w:rPr>
              <w:t>Keep an accurate and relevant medical record</w:t>
            </w:r>
          </w:p>
          <w:p w:rsidR="008812C2" w:rsidRDefault="008812C2" w:rsidP="0035783F">
            <w:pPr>
              <w:numPr>
                <w:ilvl w:val="0"/>
                <w:numId w:val="1"/>
              </w:numPr>
              <w:rPr>
                <w:rFonts w:cs="Arial"/>
                <w:sz w:val="20"/>
                <w:szCs w:val="20"/>
              </w:rPr>
            </w:pPr>
            <w:r>
              <w:rPr>
                <w:rFonts w:cs="Arial"/>
                <w:sz w:val="20"/>
                <w:szCs w:val="20"/>
              </w:rPr>
              <w:t>Manage time and clinical priorities effectively</w:t>
            </w:r>
          </w:p>
          <w:p w:rsidR="008812C2" w:rsidRDefault="008812C2" w:rsidP="0035783F">
            <w:pPr>
              <w:numPr>
                <w:ilvl w:val="0"/>
                <w:numId w:val="1"/>
              </w:numPr>
              <w:rPr>
                <w:rFonts w:cs="Arial"/>
                <w:sz w:val="20"/>
                <w:szCs w:val="20"/>
              </w:rPr>
            </w:pPr>
            <w:r>
              <w:rPr>
                <w:rFonts w:cs="Arial"/>
                <w:sz w:val="20"/>
                <w:szCs w:val="20"/>
              </w:rPr>
              <w:t>Communicate effectively with patients, relatives and colleagues</w:t>
            </w:r>
          </w:p>
          <w:p w:rsidR="008812C2" w:rsidRDefault="008812C2" w:rsidP="0035783F">
            <w:pPr>
              <w:numPr>
                <w:ilvl w:val="0"/>
                <w:numId w:val="1"/>
              </w:numPr>
              <w:rPr>
                <w:rFonts w:cs="Arial"/>
                <w:sz w:val="20"/>
                <w:szCs w:val="20"/>
              </w:rPr>
            </w:pPr>
            <w:r>
              <w:rPr>
                <w:rFonts w:cs="Arial"/>
                <w:sz w:val="20"/>
                <w:szCs w:val="20"/>
              </w:rPr>
              <w:t>Use evidence, guidelines and audit to benefit patient care</w:t>
            </w:r>
          </w:p>
          <w:p w:rsidR="008812C2" w:rsidRDefault="008812C2" w:rsidP="0035783F">
            <w:pPr>
              <w:numPr>
                <w:ilvl w:val="0"/>
                <w:numId w:val="1"/>
              </w:numPr>
              <w:rPr>
                <w:rFonts w:cs="Arial"/>
                <w:sz w:val="20"/>
                <w:szCs w:val="20"/>
              </w:rPr>
            </w:pPr>
            <w:r>
              <w:rPr>
                <w:rFonts w:cs="Arial"/>
                <w:sz w:val="20"/>
                <w:szCs w:val="20"/>
              </w:rPr>
              <w:t>Act in a professional manner at all times</w:t>
            </w:r>
          </w:p>
          <w:p w:rsidR="008812C2" w:rsidRDefault="008812C2"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8812C2" w:rsidRDefault="008812C2" w:rsidP="0035783F">
            <w:pPr>
              <w:numPr>
                <w:ilvl w:val="0"/>
                <w:numId w:val="1"/>
              </w:numPr>
              <w:rPr>
                <w:rFonts w:cs="Arial"/>
                <w:sz w:val="20"/>
                <w:szCs w:val="20"/>
              </w:rPr>
            </w:pPr>
            <w:r>
              <w:rPr>
                <w:rFonts w:cs="Arial"/>
                <w:sz w:val="20"/>
                <w:szCs w:val="20"/>
              </w:rPr>
              <w:t>Educate patients effectively</w:t>
            </w:r>
          </w:p>
          <w:p w:rsidR="008812C2" w:rsidRDefault="008812C2" w:rsidP="0035783F">
            <w:pPr>
              <w:numPr>
                <w:ilvl w:val="0"/>
                <w:numId w:val="1"/>
              </w:numPr>
              <w:rPr>
                <w:rFonts w:cs="Arial"/>
                <w:sz w:val="20"/>
                <w:szCs w:val="20"/>
              </w:rPr>
            </w:pPr>
            <w:r>
              <w:rPr>
                <w:rFonts w:cs="Arial"/>
                <w:sz w:val="20"/>
                <w:szCs w:val="20"/>
              </w:rPr>
              <w:t>Become life-long learners and teachers</w:t>
            </w:r>
          </w:p>
          <w:p w:rsidR="008812C2" w:rsidRDefault="008812C2">
            <w:pPr>
              <w:rPr>
                <w:rFonts w:eastAsia="Calibri" w:cs="Arial"/>
                <w:sz w:val="20"/>
                <w:szCs w:val="20"/>
                <w:lang w:eastAsia="en-US"/>
              </w:rPr>
            </w:pPr>
          </w:p>
        </w:tc>
      </w:tr>
      <w:tr w:rsidR="008812C2" w:rsidTr="008812C2">
        <w:trPr>
          <w:trHeight w:val="383"/>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color w:val="FF0000"/>
                <w:sz w:val="20"/>
                <w:szCs w:val="20"/>
                <w:lang w:eastAsia="en-US"/>
              </w:rPr>
            </w:pPr>
            <w:r>
              <w:rPr>
                <w:rFonts w:cs="Arial"/>
                <w:sz w:val="20"/>
                <w:szCs w:val="20"/>
              </w:rPr>
              <w:t>Peterborough City Hospital:  Wards B5, B6 and B7</w:t>
            </w:r>
          </w:p>
        </w:tc>
      </w:tr>
      <w:tr w:rsidR="008812C2" w:rsidTr="008812C2">
        <w:trPr>
          <w:trHeight w:val="144"/>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tcPr>
          <w:p w:rsidR="008812C2" w:rsidRDefault="008812C2">
            <w:pPr>
              <w:rPr>
                <w:rFonts w:eastAsia="Calibri" w:cs="Arial"/>
                <w:sz w:val="20"/>
                <w:szCs w:val="20"/>
                <w:lang w:eastAsia="en-US"/>
              </w:rPr>
            </w:pPr>
            <w:r>
              <w:rPr>
                <w:rFonts w:cs="Arial"/>
                <w:sz w:val="20"/>
                <w:szCs w:val="20"/>
              </w:rPr>
              <w:t xml:space="preserve">Mr R Hartley </w:t>
            </w:r>
          </w:p>
          <w:p w:rsidR="008812C2" w:rsidRDefault="008812C2">
            <w:pPr>
              <w:rPr>
                <w:rFonts w:cs="Arial"/>
                <w:color w:val="FF0000"/>
                <w:sz w:val="20"/>
                <w:szCs w:val="20"/>
              </w:rPr>
            </w:pPr>
            <w:r>
              <w:rPr>
                <w:rFonts w:cs="Arial"/>
                <w:sz w:val="20"/>
                <w:szCs w:val="20"/>
              </w:rPr>
              <w:t>Mr. E. Chowdhury</w:t>
            </w:r>
          </w:p>
          <w:p w:rsidR="008812C2" w:rsidRDefault="008812C2">
            <w:pPr>
              <w:rPr>
                <w:rFonts w:eastAsia="Calibri" w:cs="Arial"/>
                <w:color w:val="FF0000"/>
                <w:sz w:val="20"/>
                <w:szCs w:val="20"/>
                <w:lang w:eastAsia="en-US"/>
              </w:rPr>
            </w:pPr>
          </w:p>
        </w:tc>
      </w:tr>
      <w:tr w:rsidR="008812C2" w:rsidTr="008812C2">
        <w:trPr>
          <w:trHeight w:val="144"/>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Main duties of the placement</w:t>
            </w:r>
          </w:p>
        </w:tc>
        <w:tc>
          <w:tcPr>
            <w:tcW w:w="5257"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Ward work being responsible for the day to day care of patients on the ward.</w:t>
            </w:r>
          </w:p>
          <w:p w:rsidR="008812C2" w:rsidRDefault="008812C2">
            <w:pPr>
              <w:rPr>
                <w:rFonts w:cs="Arial"/>
                <w:sz w:val="20"/>
                <w:szCs w:val="20"/>
              </w:rPr>
            </w:pPr>
            <w:r>
              <w:rPr>
                <w:rFonts w:cs="Arial"/>
                <w:sz w:val="20"/>
                <w:szCs w:val="20"/>
              </w:rPr>
              <w:t>Assisting in Theatre elective and Trauma</w:t>
            </w:r>
          </w:p>
          <w:p w:rsidR="008812C2" w:rsidRDefault="008812C2">
            <w:pPr>
              <w:rPr>
                <w:rFonts w:eastAsia="Calibri" w:cs="Arial"/>
                <w:sz w:val="20"/>
                <w:szCs w:val="20"/>
                <w:lang w:eastAsia="en-US"/>
              </w:rPr>
            </w:pPr>
            <w:r>
              <w:rPr>
                <w:rFonts w:cs="Arial"/>
                <w:sz w:val="20"/>
                <w:szCs w:val="20"/>
              </w:rPr>
              <w:lastRenderedPageBreak/>
              <w:t>On call duties daytime and night being first on call for A&amp;E.</w:t>
            </w:r>
          </w:p>
        </w:tc>
      </w:tr>
      <w:tr w:rsidR="008812C2" w:rsidTr="008812C2">
        <w:trPr>
          <w:trHeight w:val="144"/>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lastRenderedPageBreak/>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8812C2" w:rsidRDefault="008812C2">
            <w:pPr>
              <w:rPr>
                <w:rFonts w:eastAsia="Calibri" w:cs="Arial"/>
                <w:sz w:val="20"/>
                <w:szCs w:val="20"/>
                <w:lang w:eastAsia="en-US"/>
              </w:rPr>
            </w:pPr>
            <w:r>
              <w:rPr>
                <w:rFonts w:cs="Arial"/>
                <w:sz w:val="20"/>
                <w:szCs w:val="20"/>
              </w:rPr>
              <w:t>Typical working pattern in this post  e.g. ward rounds, clinics, theatre sessions</w:t>
            </w:r>
          </w:p>
          <w:p w:rsidR="008812C2" w:rsidRDefault="008812C2">
            <w:pPr>
              <w:rPr>
                <w:rFonts w:cs="Arial"/>
                <w:sz w:val="20"/>
                <w:szCs w:val="20"/>
              </w:rPr>
            </w:pPr>
            <w:r>
              <w:rPr>
                <w:rFonts w:cs="Arial"/>
                <w:sz w:val="20"/>
                <w:szCs w:val="20"/>
              </w:rPr>
              <w:t xml:space="preserve">      </w:t>
            </w:r>
          </w:p>
          <w:p w:rsidR="008812C2" w:rsidRDefault="008812C2">
            <w:pPr>
              <w:rPr>
                <w:rFonts w:cs="Arial"/>
                <w:b/>
                <w:sz w:val="20"/>
                <w:szCs w:val="20"/>
                <w:u w:val="single"/>
              </w:rPr>
            </w:pPr>
            <w:r>
              <w:rPr>
                <w:rFonts w:cs="Arial"/>
                <w:b/>
                <w:sz w:val="20"/>
                <w:szCs w:val="20"/>
                <w:u w:val="single"/>
              </w:rPr>
              <w:t>Elective</w:t>
            </w:r>
          </w:p>
          <w:tbl>
            <w:tblPr>
              <w:tblStyle w:val="TableGrid"/>
              <w:tblW w:w="0" w:type="auto"/>
              <w:tblInd w:w="0" w:type="dxa"/>
              <w:tblLook w:val="01E0" w:firstRow="1" w:lastRow="1" w:firstColumn="1" w:lastColumn="1" w:noHBand="0" w:noVBand="0"/>
            </w:tblPr>
            <w:tblGrid>
              <w:gridCol w:w="824"/>
              <w:gridCol w:w="1980"/>
              <w:gridCol w:w="1980"/>
            </w:tblGrid>
            <w:tr w:rsidR="008812C2">
              <w:tc>
                <w:tcPr>
                  <w:tcW w:w="824" w:type="dxa"/>
                  <w:tcBorders>
                    <w:top w:val="single" w:sz="4" w:space="0" w:color="auto"/>
                    <w:left w:val="single" w:sz="4" w:space="0" w:color="auto"/>
                    <w:bottom w:val="single" w:sz="4" w:space="0" w:color="auto"/>
                    <w:right w:val="single" w:sz="4" w:space="0" w:color="auto"/>
                  </w:tcBorders>
                </w:tcPr>
                <w:p w:rsidR="008812C2" w:rsidRDefault="008812C2">
                  <w:pPr>
                    <w:rPr>
                      <w:rFonts w:eastAsia="Calibri" w:cs="Arial"/>
                      <w:b/>
                      <w:sz w:val="20"/>
                      <w:szCs w:val="20"/>
                      <w:u w:val="single"/>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0"/>
                      <w:szCs w:val="20"/>
                      <w:u w:val="single"/>
                      <w:lang w:eastAsia="en-US"/>
                    </w:rPr>
                  </w:pPr>
                  <w:r>
                    <w:rPr>
                      <w:rFonts w:cs="Arial"/>
                      <w:b/>
                      <w:sz w:val="20"/>
                      <w:szCs w:val="20"/>
                      <w:u w:val="single"/>
                    </w:rPr>
                    <w:t>Morning</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0"/>
                      <w:szCs w:val="20"/>
                      <w:u w:val="single"/>
                      <w:lang w:eastAsia="en-US"/>
                    </w:rPr>
                  </w:pPr>
                  <w:r>
                    <w:rPr>
                      <w:rFonts w:cs="Arial"/>
                      <w:b/>
                      <w:sz w:val="20"/>
                      <w:szCs w:val="20"/>
                      <w:u w:val="single"/>
                    </w:rPr>
                    <w:t>Afternoon</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Mon</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Ward work</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half day           </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Tues</w:t>
                  </w:r>
                </w:p>
              </w:tc>
              <w:tc>
                <w:tcPr>
                  <w:tcW w:w="3960" w:type="dxa"/>
                  <w:gridSpan w:val="2"/>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Theatre all day          </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Wed</w:t>
                  </w:r>
                </w:p>
              </w:tc>
              <w:tc>
                <w:tcPr>
                  <w:tcW w:w="3960" w:type="dxa"/>
                  <w:gridSpan w:val="2"/>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Ward work all day </w:t>
                  </w:r>
                </w:p>
                <w:p w:rsidR="008812C2" w:rsidRDefault="008812C2">
                  <w:pPr>
                    <w:rPr>
                      <w:rFonts w:eastAsia="Calibri" w:cs="Arial"/>
                      <w:sz w:val="20"/>
                      <w:szCs w:val="20"/>
                      <w:lang w:eastAsia="en-US"/>
                    </w:rPr>
                  </w:pPr>
                  <w:r>
                    <w:rPr>
                      <w:rFonts w:cs="Arial"/>
                      <w:sz w:val="20"/>
                      <w:szCs w:val="20"/>
                    </w:rPr>
                    <w:t xml:space="preserve">Long shift to 9.00 pm           </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Thurs</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Theatre</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Ward work</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Fri</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Early shift 7.00am</w:t>
                  </w:r>
                </w:p>
                <w:p w:rsidR="008812C2" w:rsidRDefault="008812C2">
                  <w:pPr>
                    <w:rPr>
                      <w:rFonts w:eastAsia="Calibri" w:cs="Arial"/>
                      <w:sz w:val="20"/>
                      <w:szCs w:val="20"/>
                      <w:lang w:eastAsia="en-US"/>
                    </w:rPr>
                  </w:pPr>
                  <w:r>
                    <w:rPr>
                      <w:rFonts w:cs="Arial"/>
                      <w:sz w:val="20"/>
                      <w:szCs w:val="20"/>
                    </w:rPr>
                    <w:t>Theatre</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Ward work          </w:t>
                  </w:r>
                </w:p>
              </w:tc>
            </w:tr>
          </w:tbl>
          <w:p w:rsidR="008812C2" w:rsidRDefault="008812C2">
            <w:pPr>
              <w:rPr>
                <w:rFonts w:eastAsia="Calibri" w:cs="Arial"/>
                <w:b/>
                <w:sz w:val="20"/>
                <w:szCs w:val="20"/>
                <w:u w:val="single"/>
                <w:lang w:eastAsia="en-US"/>
              </w:rPr>
            </w:pPr>
          </w:p>
          <w:p w:rsidR="008812C2" w:rsidRDefault="008812C2">
            <w:pPr>
              <w:rPr>
                <w:rFonts w:cs="Arial"/>
                <w:b/>
                <w:sz w:val="20"/>
                <w:szCs w:val="20"/>
                <w:u w:val="single"/>
              </w:rPr>
            </w:pPr>
            <w:r>
              <w:rPr>
                <w:rFonts w:cs="Arial"/>
                <w:b/>
                <w:sz w:val="20"/>
                <w:szCs w:val="20"/>
                <w:u w:val="single"/>
              </w:rPr>
              <w:t>Trauma</w:t>
            </w:r>
          </w:p>
          <w:tbl>
            <w:tblPr>
              <w:tblStyle w:val="TableGrid"/>
              <w:tblW w:w="0" w:type="auto"/>
              <w:tblInd w:w="0" w:type="dxa"/>
              <w:tblLook w:val="01E0" w:firstRow="1" w:lastRow="1" w:firstColumn="1" w:lastColumn="1" w:noHBand="0" w:noVBand="0"/>
            </w:tblPr>
            <w:tblGrid>
              <w:gridCol w:w="824"/>
              <w:gridCol w:w="1980"/>
              <w:gridCol w:w="1980"/>
            </w:tblGrid>
            <w:tr w:rsidR="008812C2">
              <w:tc>
                <w:tcPr>
                  <w:tcW w:w="824" w:type="dxa"/>
                  <w:tcBorders>
                    <w:top w:val="single" w:sz="4" w:space="0" w:color="auto"/>
                    <w:left w:val="single" w:sz="4" w:space="0" w:color="auto"/>
                    <w:bottom w:val="single" w:sz="4" w:space="0" w:color="auto"/>
                    <w:right w:val="single" w:sz="4" w:space="0" w:color="auto"/>
                  </w:tcBorders>
                </w:tcPr>
                <w:p w:rsidR="008812C2" w:rsidRDefault="008812C2">
                  <w:pPr>
                    <w:rPr>
                      <w:rFonts w:eastAsia="Calibri" w:cs="Arial"/>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0"/>
                      <w:szCs w:val="20"/>
                      <w:u w:val="single"/>
                      <w:lang w:eastAsia="en-US"/>
                    </w:rPr>
                  </w:pPr>
                  <w:r>
                    <w:rPr>
                      <w:rFonts w:cs="Arial"/>
                      <w:b/>
                      <w:sz w:val="20"/>
                      <w:szCs w:val="20"/>
                      <w:u w:val="single"/>
                    </w:rPr>
                    <w:t>Morning</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0"/>
                      <w:szCs w:val="20"/>
                      <w:u w:val="single"/>
                      <w:lang w:eastAsia="en-US"/>
                    </w:rPr>
                  </w:pPr>
                  <w:r>
                    <w:rPr>
                      <w:rFonts w:cs="Arial"/>
                      <w:b/>
                      <w:sz w:val="20"/>
                      <w:szCs w:val="20"/>
                      <w:u w:val="single"/>
                    </w:rPr>
                    <w:t>Afternoon</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Mon</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Ward Work</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Ward Work          </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Tues</w:t>
                  </w:r>
                </w:p>
              </w:tc>
              <w:tc>
                <w:tcPr>
                  <w:tcW w:w="3960" w:type="dxa"/>
                  <w:gridSpan w:val="2"/>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On call all day          </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Wed</w:t>
                  </w:r>
                </w:p>
              </w:tc>
              <w:tc>
                <w:tcPr>
                  <w:tcW w:w="3960" w:type="dxa"/>
                  <w:gridSpan w:val="2"/>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Trauma Theatre all day           </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Thurs</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Ward work</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half day</w:t>
                  </w:r>
                </w:p>
              </w:tc>
            </w:tr>
            <w:tr w:rsidR="008812C2">
              <w:tc>
                <w:tcPr>
                  <w:tcW w:w="824"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Fri</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Trauma</w:t>
                  </w:r>
                </w:p>
              </w:tc>
              <w:tc>
                <w:tcPr>
                  <w:tcW w:w="1980"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sz w:val="20"/>
                      <w:szCs w:val="20"/>
                      <w:lang w:eastAsia="en-US"/>
                    </w:rPr>
                  </w:pPr>
                  <w:r>
                    <w:rPr>
                      <w:rFonts w:cs="Arial"/>
                      <w:sz w:val="20"/>
                      <w:szCs w:val="20"/>
                    </w:rPr>
                    <w:t xml:space="preserve">Ward work          </w:t>
                  </w:r>
                </w:p>
              </w:tc>
            </w:tr>
          </w:tbl>
          <w:p w:rsidR="008812C2" w:rsidRDefault="008812C2">
            <w:pPr>
              <w:rPr>
                <w:rFonts w:eastAsia="Calibri" w:cs="Arial"/>
                <w:sz w:val="20"/>
                <w:szCs w:val="20"/>
                <w:lang w:eastAsia="en-US"/>
              </w:rPr>
            </w:pPr>
          </w:p>
          <w:p w:rsidR="008812C2" w:rsidRDefault="008812C2">
            <w:pPr>
              <w:rPr>
                <w:rFonts w:cs="Arial"/>
                <w:sz w:val="20"/>
                <w:szCs w:val="20"/>
              </w:rPr>
            </w:pPr>
            <w:r>
              <w:rPr>
                <w:rFonts w:cs="Arial"/>
                <w:i/>
                <w:sz w:val="20"/>
                <w:szCs w:val="20"/>
              </w:rPr>
              <w:t>On call requirements:</w:t>
            </w:r>
            <w:r>
              <w:rPr>
                <w:rFonts w:cs="Arial"/>
                <w:sz w:val="20"/>
                <w:szCs w:val="20"/>
              </w:rPr>
              <w:t xml:space="preserve">  1 in 12 Nights </w:t>
            </w:r>
          </w:p>
          <w:p w:rsidR="008812C2" w:rsidRDefault="008812C2">
            <w:pPr>
              <w:rPr>
                <w:rFonts w:eastAsia="Calibri" w:cs="Arial"/>
                <w:sz w:val="20"/>
                <w:szCs w:val="20"/>
                <w:lang w:eastAsia="en-US"/>
              </w:rPr>
            </w:pPr>
            <w:r>
              <w:rPr>
                <w:rFonts w:cs="Arial"/>
                <w:sz w:val="20"/>
                <w:szCs w:val="20"/>
              </w:rPr>
              <w:t xml:space="preserve">                                     1 in 12 Weekends</w:t>
            </w:r>
          </w:p>
        </w:tc>
      </w:tr>
      <w:tr w:rsidR="008812C2" w:rsidTr="008812C2">
        <w:trPr>
          <w:trHeight w:val="144"/>
        </w:trPr>
        <w:tc>
          <w:tcPr>
            <w:tcW w:w="3851" w:type="dxa"/>
            <w:tcBorders>
              <w:top w:val="single" w:sz="4" w:space="0" w:color="auto"/>
              <w:left w:val="single" w:sz="4" w:space="0" w:color="auto"/>
              <w:bottom w:val="single" w:sz="4" w:space="0" w:color="auto"/>
              <w:right w:val="single" w:sz="4" w:space="0" w:color="auto"/>
            </w:tcBorders>
            <w:hideMark/>
          </w:tcPr>
          <w:p w:rsidR="008812C2" w:rsidRDefault="008812C2">
            <w:pPr>
              <w:rPr>
                <w:rFonts w:eastAsia="Calibri" w:cs="Arial"/>
                <w:b/>
                <w:sz w:val="22"/>
                <w:lang w:eastAsia="en-US"/>
              </w:rPr>
            </w:pPr>
            <w:r>
              <w:rPr>
                <w:rFonts w:cs="Arial"/>
                <w:b/>
                <w:sz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8812C2" w:rsidRDefault="008812C2">
            <w:pPr>
              <w:pStyle w:val="BodyText"/>
              <w:jc w:val="left"/>
              <w:rPr>
                <w:rFonts w:ascii="Arial" w:eastAsia="Calibri" w:hAnsi="Arial" w:cs="Arial"/>
                <w:sz w:val="20"/>
              </w:rPr>
            </w:pPr>
            <w:r>
              <w:rPr>
                <w:rFonts w:ascii="Arial" w:hAnsi="Arial" w:cs="Arial"/>
                <w:sz w:val="20"/>
              </w:rPr>
              <w:t xml:space="preserve">The employer for this post is Peterborough &amp; Stamford Hospitals NHS Foundation Trust.   </w:t>
            </w:r>
          </w:p>
          <w:p w:rsidR="008812C2" w:rsidRDefault="008812C2">
            <w:pPr>
              <w:pStyle w:val="BodyText"/>
              <w:jc w:val="left"/>
              <w:rPr>
                <w:rFonts w:ascii="Arial" w:hAnsi="Arial" w:cs="Arial"/>
                <w:sz w:val="20"/>
              </w:rPr>
            </w:pPr>
          </w:p>
          <w:p w:rsidR="008812C2" w:rsidRDefault="008812C2">
            <w:pPr>
              <w:pStyle w:val="BodyText"/>
              <w:jc w:val="left"/>
              <w:rPr>
                <w:rFonts w:ascii="Arial" w:hAnsi="Arial" w:cs="Arial"/>
                <w:sz w:val="20"/>
              </w:rPr>
            </w:pPr>
            <w:r>
              <w:rPr>
                <w:rFonts w:ascii="Arial" w:hAnsi="Arial" w:cs="Arial"/>
                <w:sz w:val="20"/>
              </w:rPr>
              <w:t>The post will be based in Peterborough City Hospital.</w:t>
            </w:r>
          </w:p>
          <w:p w:rsidR="008812C2" w:rsidRDefault="008812C2">
            <w:pPr>
              <w:pStyle w:val="BodyText"/>
              <w:jc w:val="left"/>
              <w:rPr>
                <w:rFonts w:ascii="Arial" w:hAnsi="Arial" w:cs="Arial"/>
                <w:sz w:val="20"/>
              </w:rPr>
            </w:pPr>
          </w:p>
          <w:p w:rsidR="008812C2" w:rsidRDefault="008812C2">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8812C2" w:rsidRDefault="008812C2" w:rsidP="008812C2">
      <w:pPr>
        <w:rPr>
          <w:rFonts w:ascii="Times New Roman" w:eastAsia="Calibri" w:hAnsi="Times New Roman"/>
          <w:lang w:eastAsia="en-US"/>
        </w:rPr>
      </w:pPr>
    </w:p>
    <w:p w:rsidR="008812C2" w:rsidRDefault="008812C2" w:rsidP="008812C2">
      <w:pPr>
        <w:rPr>
          <w:rFonts w:cs="Arial"/>
          <w:sz w:val="22"/>
          <w:szCs w:val="22"/>
        </w:rPr>
      </w:pPr>
      <w:r>
        <w:rPr>
          <w:rFonts w:cs="Arial"/>
          <w:sz w:val="22"/>
          <w:szCs w:val="22"/>
        </w:rPr>
        <w:t>It is important to note that this description is a typical example of your placement and may be subject to change.</w:t>
      </w:r>
    </w:p>
    <w:p w:rsidR="008812C2" w:rsidRDefault="008812C2" w:rsidP="008812C2">
      <w:pPr>
        <w:rPr>
          <w:rFonts w:ascii="Cambria" w:hAnsi="Cambria"/>
        </w:rPr>
      </w:pPr>
    </w:p>
    <w:p w:rsidR="008812C2" w:rsidRDefault="008812C2" w:rsidP="008812C2">
      <w:pPr>
        <w:rPr>
          <w:rFonts w:ascii="Times New Roman" w:hAnsi="Times New Roman"/>
        </w:rPr>
      </w:pPr>
    </w:p>
    <w:p w:rsidR="00DF21D4" w:rsidRPr="008812C2" w:rsidRDefault="00DF21D4" w:rsidP="008812C2"/>
    <w:sectPr w:rsidR="00DF21D4" w:rsidRPr="008812C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2016-09-22T15:21:00Z</dcterms:created>
  <dcterms:modified xsi:type="dcterms:W3CDTF">2016-09-22T15:21:00Z</dcterms:modified>
</cp:coreProperties>
</file>