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00" w:rsidRDefault="000D5200" w:rsidP="000D5200">
      <w:pPr>
        <w:tabs>
          <w:tab w:val="center" w:pos="5040"/>
          <w:tab w:val="right" w:pos="9900"/>
        </w:tabs>
      </w:pPr>
      <w:r>
        <w:t xml:space="preserve"> </w:t>
      </w:r>
      <w:r>
        <w:tab/>
      </w:r>
      <w:r>
        <w:tab/>
      </w:r>
      <w:bookmarkStart w:id="0" w:name="_GoBack"/>
      <w:bookmarkEnd w:id="0"/>
    </w:p>
    <w:p w:rsidR="000D5200" w:rsidRDefault="000D5200" w:rsidP="000D5200">
      <w:pPr>
        <w:jc w:val="center"/>
        <w:rPr>
          <w:rFonts w:cs="Arial"/>
          <w:b/>
          <w:sz w:val="28"/>
          <w:szCs w:val="28"/>
        </w:rPr>
      </w:pPr>
    </w:p>
    <w:p w:rsidR="000D5200" w:rsidRDefault="000D5200" w:rsidP="000D5200">
      <w:pPr>
        <w:jc w:val="center"/>
        <w:rPr>
          <w:rFonts w:cs="Arial"/>
          <w:b/>
          <w:sz w:val="28"/>
          <w:szCs w:val="28"/>
        </w:rPr>
      </w:pPr>
      <w:r>
        <w:rPr>
          <w:rFonts w:cs="Arial"/>
          <w:b/>
          <w:sz w:val="28"/>
          <w:szCs w:val="28"/>
        </w:rPr>
        <w:t>East Anglia Foundation School</w:t>
      </w:r>
    </w:p>
    <w:p w:rsidR="000D5200" w:rsidRDefault="000D5200" w:rsidP="000D5200">
      <w:pPr>
        <w:jc w:val="center"/>
        <w:rPr>
          <w:rFonts w:cs="Arial"/>
          <w:b/>
          <w:sz w:val="28"/>
          <w:szCs w:val="28"/>
        </w:rPr>
      </w:pPr>
      <w:r>
        <w:rPr>
          <w:rFonts w:cs="Arial"/>
          <w:b/>
          <w:sz w:val="28"/>
          <w:szCs w:val="28"/>
        </w:rPr>
        <w:t xml:space="preserve">Individual Placement Description </w:t>
      </w:r>
    </w:p>
    <w:p w:rsidR="000D5200" w:rsidRDefault="000D5200" w:rsidP="000D5200">
      <w:pPr>
        <w:jc w:val="center"/>
        <w:rPr>
          <w:rFonts w:cs="Arial"/>
          <w:b/>
          <w:sz w:val="28"/>
          <w:szCs w:val="28"/>
        </w:rPr>
      </w:pPr>
    </w:p>
    <w:p w:rsidR="000D5200" w:rsidRDefault="000D5200" w:rsidP="000D5200">
      <w:pPr>
        <w:jc w:val="center"/>
        <w:rPr>
          <w:rFonts w:cs="Arial"/>
          <w:b/>
          <w:sz w:val="28"/>
          <w:szCs w:val="28"/>
        </w:rPr>
      </w:pPr>
      <w:r>
        <w:rPr>
          <w:rFonts w:cs="Arial"/>
          <w:b/>
          <w:sz w:val="28"/>
          <w:szCs w:val="28"/>
        </w:rPr>
        <w:t>Peterborough and Stamford Hospitals NHS Foundation Trust</w:t>
      </w:r>
    </w:p>
    <w:p w:rsidR="000D5200" w:rsidRDefault="000D5200" w:rsidP="000D5200">
      <w:pPr>
        <w:rPr>
          <w:rFonts w:cs="Arial"/>
          <w:b/>
          <w:sz w:val="22"/>
          <w:szCs w:val="22"/>
        </w:rPr>
      </w:pPr>
    </w:p>
    <w:p w:rsidR="000D5200" w:rsidRDefault="000D5200" w:rsidP="000D5200">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0D5200" w:rsidTr="000D5200">
        <w:trPr>
          <w:trHeight w:val="411"/>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sz w:val="20"/>
                <w:szCs w:val="20"/>
                <w:lang w:eastAsia="en-US"/>
              </w:rPr>
            </w:pPr>
            <w:r>
              <w:rPr>
                <w:rFonts w:cs="Arial"/>
                <w:sz w:val="20"/>
                <w:szCs w:val="20"/>
              </w:rPr>
              <w:t>F1 Paediatrics</w:t>
            </w:r>
          </w:p>
        </w:tc>
      </w:tr>
      <w:tr w:rsidR="000D5200" w:rsidTr="000D5200">
        <w:trPr>
          <w:trHeight w:val="351"/>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sz w:val="20"/>
                <w:szCs w:val="20"/>
                <w:lang w:eastAsia="en-US"/>
              </w:rPr>
            </w:pPr>
            <w:r>
              <w:rPr>
                <w:rFonts w:cs="Arial"/>
                <w:sz w:val="20"/>
                <w:szCs w:val="20"/>
              </w:rPr>
              <w:t xml:space="preserve">The F1 doctor in Paediatrics trains and works in the dedicated Woman &amp; Child wing of the new Peterborough City Hospital.  The paediatric area consists of Amazon Ward (30 beds, including two high-dependency), Jungle Assessment Unit (8 beds), Rainforest Outpatient Department and a neonatal unit.  The medical </w:t>
            </w:r>
            <w:proofErr w:type="gramStart"/>
            <w:r>
              <w:rPr>
                <w:rFonts w:cs="Arial"/>
                <w:sz w:val="20"/>
                <w:szCs w:val="20"/>
              </w:rPr>
              <w:t>staff</w:t>
            </w:r>
            <w:proofErr w:type="gramEnd"/>
            <w:r>
              <w:rPr>
                <w:rFonts w:cs="Arial"/>
                <w:sz w:val="20"/>
                <w:szCs w:val="20"/>
              </w:rPr>
              <w:t xml:space="preserve"> consists of 10 consultants, 8 middle grade doctors and 14 other junior grade doctors.  The department operates a Consultant of the Week system to ensure that there is always a consultant present to supervise and train junior doctors.</w:t>
            </w:r>
          </w:p>
        </w:tc>
      </w:tr>
      <w:tr w:rsidR="000D5200" w:rsidTr="000D5200">
        <w:trPr>
          <w:trHeight w:val="144"/>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0D5200" w:rsidRDefault="000D5200">
            <w:pPr>
              <w:rPr>
                <w:rFonts w:cs="Arial"/>
                <w:sz w:val="20"/>
                <w:szCs w:val="20"/>
                <w:lang w:eastAsia="en-US"/>
              </w:rPr>
            </w:pPr>
            <w:r>
              <w:rPr>
                <w:rFonts w:cs="Arial"/>
                <w:sz w:val="20"/>
                <w:szCs w:val="20"/>
              </w:rPr>
              <w:t>The F1 doctor in paediatrics is primarily based on Amazon Ward and the Jungle Assessment Unit.  Working on the ward allows the trainee to become familiar with a wide range of childhood illnesses and chronic conditions.  Experience on the Assessment Unit allows the trainees to see children at presentation and take part in initial management, including recognition and stabilisation of the sick child.  Brief attachments to the neonatal unit are possible.  In addition to ward based training, there are regular educational activities throughout the week that the F1 doctor is encouraged to attend.  These include weekly consultant led seminars, educational meetings, and case presentations.</w:t>
            </w:r>
          </w:p>
          <w:p w:rsidR="000D5200" w:rsidRDefault="000D5200">
            <w:pPr>
              <w:rPr>
                <w:rFonts w:cs="Arial"/>
                <w:sz w:val="20"/>
                <w:szCs w:val="20"/>
              </w:rPr>
            </w:pPr>
          </w:p>
          <w:p w:rsidR="000D5200" w:rsidRDefault="000D5200">
            <w:pPr>
              <w:rPr>
                <w:rFonts w:cs="Arial"/>
                <w:sz w:val="20"/>
                <w:szCs w:val="20"/>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0D5200" w:rsidRDefault="000D5200">
            <w:pPr>
              <w:rPr>
                <w:rFonts w:cs="Arial"/>
                <w:sz w:val="20"/>
                <w:szCs w:val="20"/>
              </w:rPr>
            </w:pPr>
            <w:r>
              <w:rPr>
                <w:rFonts w:cs="Arial"/>
                <w:sz w:val="20"/>
                <w:szCs w:val="20"/>
              </w:rPr>
              <w:t>The overall educational objectives of the F1 year are to provide the trainee with the knowledge, skills and attitudes to be able to:</w:t>
            </w:r>
          </w:p>
          <w:p w:rsidR="000D5200" w:rsidRDefault="000D5200" w:rsidP="000D5200">
            <w:pPr>
              <w:numPr>
                <w:ilvl w:val="0"/>
                <w:numId w:val="44"/>
              </w:numPr>
              <w:rPr>
                <w:rFonts w:cs="Arial"/>
                <w:sz w:val="20"/>
                <w:szCs w:val="20"/>
              </w:rPr>
            </w:pPr>
            <w:r>
              <w:rPr>
                <w:rFonts w:cs="Arial"/>
                <w:sz w:val="20"/>
                <w:szCs w:val="20"/>
              </w:rPr>
              <w:t>Take a history and examine a patient</w:t>
            </w:r>
          </w:p>
          <w:p w:rsidR="000D5200" w:rsidRDefault="000D5200" w:rsidP="000D5200">
            <w:pPr>
              <w:numPr>
                <w:ilvl w:val="0"/>
                <w:numId w:val="44"/>
              </w:numPr>
              <w:rPr>
                <w:rFonts w:cs="Arial"/>
                <w:sz w:val="20"/>
                <w:szCs w:val="20"/>
              </w:rPr>
            </w:pPr>
            <w:r>
              <w:rPr>
                <w:rFonts w:cs="Arial"/>
                <w:sz w:val="20"/>
                <w:szCs w:val="20"/>
              </w:rPr>
              <w:t>Identify and synthesise problems</w:t>
            </w:r>
          </w:p>
          <w:p w:rsidR="000D5200" w:rsidRDefault="000D5200" w:rsidP="000D5200">
            <w:pPr>
              <w:numPr>
                <w:ilvl w:val="0"/>
                <w:numId w:val="44"/>
              </w:numPr>
              <w:rPr>
                <w:rFonts w:cs="Arial"/>
                <w:sz w:val="20"/>
                <w:szCs w:val="20"/>
              </w:rPr>
            </w:pPr>
            <w:r>
              <w:rPr>
                <w:rFonts w:cs="Arial"/>
                <w:sz w:val="20"/>
                <w:szCs w:val="20"/>
              </w:rPr>
              <w:t>Prescribe safely</w:t>
            </w:r>
          </w:p>
          <w:p w:rsidR="000D5200" w:rsidRDefault="000D5200" w:rsidP="000D5200">
            <w:pPr>
              <w:numPr>
                <w:ilvl w:val="0"/>
                <w:numId w:val="44"/>
              </w:numPr>
              <w:rPr>
                <w:rFonts w:cs="Arial"/>
                <w:sz w:val="20"/>
                <w:szCs w:val="20"/>
              </w:rPr>
            </w:pPr>
            <w:r>
              <w:rPr>
                <w:rFonts w:cs="Arial"/>
                <w:sz w:val="20"/>
                <w:szCs w:val="20"/>
              </w:rPr>
              <w:t>Keep an accurate and relevant medical record</w:t>
            </w:r>
          </w:p>
          <w:p w:rsidR="000D5200" w:rsidRDefault="000D5200" w:rsidP="000D5200">
            <w:pPr>
              <w:numPr>
                <w:ilvl w:val="0"/>
                <w:numId w:val="44"/>
              </w:numPr>
              <w:rPr>
                <w:rFonts w:cs="Arial"/>
                <w:sz w:val="20"/>
                <w:szCs w:val="20"/>
              </w:rPr>
            </w:pPr>
            <w:r>
              <w:rPr>
                <w:rFonts w:cs="Arial"/>
                <w:sz w:val="20"/>
                <w:szCs w:val="20"/>
              </w:rPr>
              <w:t>Manage time and clinical priorities effectively</w:t>
            </w:r>
          </w:p>
          <w:p w:rsidR="000D5200" w:rsidRDefault="000D5200" w:rsidP="000D5200">
            <w:pPr>
              <w:numPr>
                <w:ilvl w:val="0"/>
                <w:numId w:val="44"/>
              </w:numPr>
              <w:rPr>
                <w:rFonts w:cs="Arial"/>
                <w:sz w:val="20"/>
                <w:szCs w:val="20"/>
              </w:rPr>
            </w:pPr>
            <w:r>
              <w:rPr>
                <w:rFonts w:cs="Arial"/>
                <w:sz w:val="20"/>
                <w:szCs w:val="20"/>
              </w:rPr>
              <w:t>Communicate effectively with patients, relatives and colleagues</w:t>
            </w:r>
          </w:p>
          <w:p w:rsidR="000D5200" w:rsidRDefault="000D5200" w:rsidP="000D5200">
            <w:pPr>
              <w:numPr>
                <w:ilvl w:val="0"/>
                <w:numId w:val="44"/>
              </w:numPr>
              <w:rPr>
                <w:rFonts w:cs="Arial"/>
                <w:sz w:val="20"/>
                <w:szCs w:val="20"/>
              </w:rPr>
            </w:pPr>
            <w:r>
              <w:rPr>
                <w:rFonts w:cs="Arial"/>
                <w:sz w:val="20"/>
                <w:szCs w:val="20"/>
              </w:rPr>
              <w:t>Use evidence, guidelines and audit to benefit patient care</w:t>
            </w:r>
          </w:p>
          <w:p w:rsidR="000D5200" w:rsidRDefault="000D5200" w:rsidP="000D5200">
            <w:pPr>
              <w:numPr>
                <w:ilvl w:val="0"/>
                <w:numId w:val="44"/>
              </w:numPr>
              <w:rPr>
                <w:rFonts w:cs="Arial"/>
                <w:sz w:val="20"/>
                <w:szCs w:val="20"/>
              </w:rPr>
            </w:pPr>
            <w:r>
              <w:rPr>
                <w:rFonts w:cs="Arial"/>
                <w:sz w:val="20"/>
                <w:szCs w:val="20"/>
              </w:rPr>
              <w:t>Act in a professional manner at all times</w:t>
            </w:r>
          </w:p>
          <w:p w:rsidR="000D5200" w:rsidRDefault="000D5200" w:rsidP="000D5200">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0D5200" w:rsidRDefault="000D5200" w:rsidP="000D5200">
            <w:pPr>
              <w:numPr>
                <w:ilvl w:val="0"/>
                <w:numId w:val="44"/>
              </w:numPr>
              <w:rPr>
                <w:rFonts w:cs="Arial"/>
                <w:sz w:val="20"/>
                <w:szCs w:val="20"/>
              </w:rPr>
            </w:pPr>
            <w:r>
              <w:rPr>
                <w:rFonts w:cs="Arial"/>
                <w:sz w:val="20"/>
                <w:szCs w:val="20"/>
              </w:rPr>
              <w:lastRenderedPageBreak/>
              <w:t>Educate patients effectively</w:t>
            </w:r>
          </w:p>
          <w:p w:rsidR="000D5200" w:rsidRDefault="000D5200" w:rsidP="000D5200">
            <w:pPr>
              <w:numPr>
                <w:ilvl w:val="0"/>
                <w:numId w:val="44"/>
              </w:numPr>
              <w:rPr>
                <w:rFonts w:cs="Arial"/>
                <w:sz w:val="20"/>
                <w:szCs w:val="20"/>
              </w:rPr>
            </w:pPr>
            <w:r>
              <w:rPr>
                <w:rFonts w:cs="Arial"/>
                <w:sz w:val="20"/>
                <w:szCs w:val="20"/>
              </w:rPr>
              <w:t>Become life-long learners and teachers</w:t>
            </w:r>
          </w:p>
          <w:p w:rsidR="000D5200" w:rsidRDefault="000D5200">
            <w:pPr>
              <w:rPr>
                <w:rFonts w:cs="Arial"/>
                <w:sz w:val="20"/>
                <w:szCs w:val="20"/>
                <w:lang w:eastAsia="en-US"/>
              </w:rPr>
            </w:pPr>
          </w:p>
        </w:tc>
      </w:tr>
      <w:tr w:rsidR="000D5200" w:rsidTr="000D5200">
        <w:trPr>
          <w:trHeight w:val="383"/>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lastRenderedPageBreak/>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sz w:val="20"/>
                <w:szCs w:val="20"/>
                <w:lang w:eastAsia="en-US"/>
              </w:rPr>
            </w:pPr>
            <w:r>
              <w:rPr>
                <w:rFonts w:cs="Arial"/>
                <w:sz w:val="20"/>
                <w:szCs w:val="20"/>
              </w:rPr>
              <w:t xml:space="preserve">Peterborough City Hospital: Amazon Ward </w:t>
            </w:r>
          </w:p>
        </w:tc>
      </w:tr>
      <w:tr w:rsidR="000D5200" w:rsidTr="000D5200">
        <w:trPr>
          <w:trHeight w:val="144"/>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sz w:val="20"/>
                <w:szCs w:val="20"/>
                <w:lang w:eastAsia="en-US"/>
              </w:rPr>
            </w:pPr>
            <w:r>
              <w:rPr>
                <w:rFonts w:cs="Arial"/>
                <w:sz w:val="20"/>
                <w:szCs w:val="20"/>
              </w:rPr>
              <w:t>Dr M Richardson</w:t>
            </w:r>
          </w:p>
        </w:tc>
      </w:tr>
      <w:tr w:rsidR="000D5200" w:rsidTr="000D5200">
        <w:trPr>
          <w:trHeight w:val="144"/>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0D5200" w:rsidRDefault="000D5200">
            <w:pPr>
              <w:rPr>
                <w:rFonts w:cs="Arial"/>
                <w:sz w:val="20"/>
                <w:szCs w:val="20"/>
                <w:lang w:eastAsia="en-US"/>
              </w:rPr>
            </w:pPr>
            <w:r>
              <w:rPr>
                <w:rFonts w:cs="Arial"/>
                <w:sz w:val="20"/>
                <w:szCs w:val="20"/>
              </w:rPr>
              <w:t>The F1 participates as a full member of the junior medical team and is encouraged to take part in the clerking and initial management of sick children as well as providing care for children already admitted to the ward.  The F1 doctor is closely supervised by paediatric registrars and the Consultant of the Week at all times.</w:t>
            </w:r>
          </w:p>
          <w:p w:rsidR="000D5200" w:rsidRDefault="000D5200">
            <w:pPr>
              <w:rPr>
                <w:rFonts w:cs="Arial"/>
                <w:sz w:val="20"/>
                <w:szCs w:val="20"/>
                <w:lang w:eastAsia="en-US"/>
              </w:rPr>
            </w:pPr>
          </w:p>
        </w:tc>
      </w:tr>
      <w:tr w:rsidR="000D5200" w:rsidTr="000D5200">
        <w:trPr>
          <w:trHeight w:val="144"/>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0D5200" w:rsidRDefault="000D5200">
            <w:pPr>
              <w:rPr>
                <w:rFonts w:cs="Arial"/>
                <w:sz w:val="20"/>
                <w:szCs w:val="20"/>
                <w:lang w:eastAsia="en-US"/>
              </w:rPr>
            </w:pPr>
            <w:r>
              <w:rPr>
                <w:rFonts w:cs="Arial"/>
                <w:sz w:val="20"/>
                <w:szCs w:val="20"/>
              </w:rPr>
              <w:t xml:space="preserve">The F1 doctor works “normal working hours” as below.  This allows for adequate supervision and support at all times.         </w:t>
            </w:r>
          </w:p>
          <w:p w:rsidR="000D5200" w:rsidRDefault="000D5200">
            <w:pPr>
              <w:rPr>
                <w:rFonts w:cs="Arial"/>
                <w:sz w:val="20"/>
                <w:szCs w:val="20"/>
              </w:rPr>
            </w:pPr>
          </w:p>
          <w:p w:rsidR="000D5200" w:rsidRDefault="000D5200">
            <w:pPr>
              <w:rPr>
                <w:rFonts w:cs="Arial"/>
                <w:sz w:val="20"/>
                <w:szCs w:val="20"/>
              </w:rPr>
            </w:pPr>
            <w:r>
              <w:rPr>
                <w:rFonts w:cs="Arial"/>
                <w:sz w:val="20"/>
                <w:szCs w:val="20"/>
              </w:rPr>
              <w:t xml:space="preserve">Mon:   08:30 -16:30         </w:t>
            </w:r>
          </w:p>
          <w:p w:rsidR="000D5200" w:rsidRDefault="000D5200">
            <w:pPr>
              <w:rPr>
                <w:rFonts w:cs="Arial"/>
                <w:sz w:val="20"/>
                <w:szCs w:val="20"/>
              </w:rPr>
            </w:pPr>
            <w:r>
              <w:rPr>
                <w:rFonts w:cs="Arial"/>
                <w:sz w:val="20"/>
                <w:szCs w:val="20"/>
              </w:rPr>
              <w:t xml:space="preserve">Tues:  08:30 -16:30          </w:t>
            </w:r>
          </w:p>
          <w:p w:rsidR="000D5200" w:rsidRDefault="000D5200">
            <w:pPr>
              <w:rPr>
                <w:rFonts w:cs="Arial"/>
                <w:sz w:val="20"/>
                <w:szCs w:val="20"/>
              </w:rPr>
            </w:pPr>
            <w:r>
              <w:rPr>
                <w:rFonts w:cs="Arial"/>
                <w:sz w:val="20"/>
                <w:szCs w:val="20"/>
              </w:rPr>
              <w:t xml:space="preserve">Wed:   08:30 -16:30                    </w:t>
            </w:r>
          </w:p>
          <w:p w:rsidR="000D5200" w:rsidRDefault="000D5200">
            <w:pPr>
              <w:rPr>
                <w:rFonts w:cs="Arial"/>
                <w:sz w:val="20"/>
                <w:szCs w:val="20"/>
              </w:rPr>
            </w:pPr>
            <w:r>
              <w:rPr>
                <w:rFonts w:cs="Arial"/>
                <w:sz w:val="20"/>
                <w:szCs w:val="20"/>
              </w:rPr>
              <w:t xml:space="preserve">Thurs: 08:30 -16:30         </w:t>
            </w:r>
          </w:p>
          <w:p w:rsidR="000D5200" w:rsidRDefault="000D5200">
            <w:pPr>
              <w:rPr>
                <w:rFonts w:cs="Arial"/>
                <w:sz w:val="20"/>
                <w:szCs w:val="20"/>
              </w:rPr>
            </w:pPr>
            <w:r>
              <w:rPr>
                <w:rFonts w:cs="Arial"/>
                <w:sz w:val="20"/>
                <w:szCs w:val="20"/>
              </w:rPr>
              <w:t xml:space="preserve">Fri:      08:30 -16:30                     </w:t>
            </w:r>
          </w:p>
          <w:p w:rsidR="000D5200" w:rsidRDefault="000D5200">
            <w:pPr>
              <w:rPr>
                <w:rFonts w:cs="Arial"/>
                <w:sz w:val="20"/>
                <w:szCs w:val="20"/>
              </w:rPr>
            </w:pPr>
            <w:r>
              <w:rPr>
                <w:rFonts w:cs="Arial"/>
                <w:sz w:val="20"/>
                <w:szCs w:val="20"/>
              </w:rPr>
              <w:t xml:space="preserve">Sat:     OFF     </w:t>
            </w:r>
          </w:p>
          <w:p w:rsidR="000D5200" w:rsidRDefault="000D5200">
            <w:pPr>
              <w:rPr>
                <w:rFonts w:cs="Arial"/>
                <w:sz w:val="20"/>
                <w:szCs w:val="20"/>
              </w:rPr>
            </w:pPr>
            <w:r>
              <w:rPr>
                <w:rFonts w:cs="Arial"/>
                <w:sz w:val="20"/>
                <w:szCs w:val="20"/>
              </w:rPr>
              <w:t xml:space="preserve">Sun:    OFF  </w:t>
            </w:r>
          </w:p>
          <w:p w:rsidR="000D5200" w:rsidRDefault="000D5200">
            <w:pPr>
              <w:rPr>
                <w:rFonts w:cs="Arial"/>
                <w:sz w:val="20"/>
                <w:szCs w:val="20"/>
              </w:rPr>
            </w:pPr>
          </w:p>
          <w:p w:rsidR="000D5200" w:rsidRDefault="000D5200">
            <w:pPr>
              <w:rPr>
                <w:rFonts w:cs="Arial"/>
                <w:sz w:val="20"/>
                <w:szCs w:val="20"/>
              </w:rPr>
            </w:pPr>
            <w:r>
              <w:rPr>
                <w:rFonts w:cs="Arial"/>
                <w:sz w:val="20"/>
                <w:szCs w:val="20"/>
              </w:rPr>
              <w:t>Occasionally, the F1 doctor may be asked to work 11.00 – 19.00 to experience activity during the early evening when many patients are admitted.</w:t>
            </w:r>
          </w:p>
          <w:p w:rsidR="000D5200" w:rsidRDefault="000D5200">
            <w:pPr>
              <w:rPr>
                <w:rFonts w:cs="Arial"/>
                <w:sz w:val="20"/>
                <w:szCs w:val="20"/>
              </w:rPr>
            </w:pPr>
          </w:p>
          <w:p w:rsidR="000D5200" w:rsidRDefault="000D5200">
            <w:pPr>
              <w:rPr>
                <w:rFonts w:cs="Arial"/>
                <w:sz w:val="20"/>
                <w:szCs w:val="20"/>
              </w:rPr>
            </w:pPr>
            <w:r>
              <w:rPr>
                <w:rFonts w:cs="Arial"/>
                <w:sz w:val="20"/>
                <w:szCs w:val="20"/>
              </w:rPr>
              <w:t>There is a formal handover and ward round every day from 08.30.  The handover is supervised by the Consultant of the Week each day and he or she leads the ward round 3 to 4 times per week.  The remainder of the day is spent on ward-based activities and/or clerking new patients on the Assessment Unit.  There are educational meetings (as above) on three days each week.</w:t>
            </w:r>
          </w:p>
          <w:p w:rsidR="000D5200" w:rsidRDefault="000D5200">
            <w:pPr>
              <w:rPr>
                <w:rFonts w:cs="Arial"/>
                <w:sz w:val="20"/>
                <w:szCs w:val="20"/>
              </w:rPr>
            </w:pPr>
          </w:p>
          <w:p w:rsidR="000D5200" w:rsidRDefault="000D5200">
            <w:pPr>
              <w:rPr>
                <w:rFonts w:cs="Arial"/>
                <w:sz w:val="20"/>
                <w:szCs w:val="20"/>
                <w:lang w:eastAsia="en-US"/>
              </w:rPr>
            </w:pPr>
            <w:r>
              <w:rPr>
                <w:rFonts w:cs="Arial"/>
                <w:i/>
                <w:sz w:val="20"/>
                <w:szCs w:val="20"/>
              </w:rPr>
              <w:t>On call requirements:</w:t>
            </w:r>
            <w:r>
              <w:rPr>
                <w:rFonts w:cs="Arial"/>
                <w:sz w:val="20"/>
                <w:szCs w:val="20"/>
              </w:rPr>
              <w:t xml:space="preserve">  none</w:t>
            </w:r>
          </w:p>
        </w:tc>
      </w:tr>
      <w:tr w:rsidR="000D5200" w:rsidTr="000D5200">
        <w:trPr>
          <w:trHeight w:val="144"/>
        </w:trPr>
        <w:tc>
          <w:tcPr>
            <w:tcW w:w="3851" w:type="dxa"/>
            <w:tcBorders>
              <w:top w:val="single" w:sz="4" w:space="0" w:color="auto"/>
              <w:left w:val="single" w:sz="4" w:space="0" w:color="auto"/>
              <w:bottom w:val="single" w:sz="4" w:space="0" w:color="auto"/>
              <w:right w:val="single" w:sz="4" w:space="0" w:color="auto"/>
            </w:tcBorders>
            <w:hideMark/>
          </w:tcPr>
          <w:p w:rsidR="000D5200" w:rsidRDefault="000D5200">
            <w:pPr>
              <w:rPr>
                <w:rFonts w:cs="Arial"/>
                <w:b/>
                <w:lang w:eastAsia="en-US"/>
              </w:rPr>
            </w:pPr>
            <w:r>
              <w:rPr>
                <w:rFonts w:cs="Arial"/>
                <w:b/>
                <w:sz w:val="22"/>
                <w:szCs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0D5200" w:rsidRDefault="000D5200">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0D5200" w:rsidRDefault="000D5200">
            <w:pPr>
              <w:pStyle w:val="BodyText"/>
              <w:jc w:val="left"/>
              <w:rPr>
                <w:rFonts w:ascii="Arial" w:hAnsi="Arial" w:cs="Arial"/>
                <w:sz w:val="20"/>
              </w:rPr>
            </w:pPr>
          </w:p>
          <w:p w:rsidR="000D5200" w:rsidRDefault="000D5200">
            <w:pPr>
              <w:pStyle w:val="BodyText"/>
              <w:jc w:val="left"/>
              <w:rPr>
                <w:rFonts w:ascii="Arial" w:hAnsi="Arial" w:cs="Arial"/>
                <w:sz w:val="20"/>
              </w:rPr>
            </w:pPr>
            <w:r>
              <w:rPr>
                <w:rFonts w:ascii="Arial" w:hAnsi="Arial" w:cs="Arial"/>
                <w:sz w:val="20"/>
              </w:rPr>
              <w:t>The post will be based in Peterborough City Hospital.</w:t>
            </w:r>
          </w:p>
          <w:p w:rsidR="000D5200" w:rsidRDefault="000D5200">
            <w:pPr>
              <w:pStyle w:val="BodyText"/>
              <w:jc w:val="left"/>
              <w:rPr>
                <w:rFonts w:ascii="Arial" w:hAnsi="Arial" w:cs="Arial"/>
                <w:sz w:val="20"/>
              </w:rPr>
            </w:pPr>
          </w:p>
          <w:p w:rsidR="000D5200" w:rsidRDefault="000D5200">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0D5200" w:rsidRDefault="000D5200" w:rsidP="000D5200">
      <w:pPr>
        <w:rPr>
          <w:rFonts w:cs="Arial"/>
          <w:sz w:val="22"/>
          <w:szCs w:val="22"/>
          <w:lang w:eastAsia="en-US"/>
        </w:rPr>
      </w:pPr>
    </w:p>
    <w:p w:rsidR="000D5200" w:rsidRDefault="000D5200" w:rsidP="000D5200">
      <w:pPr>
        <w:rPr>
          <w:rFonts w:cs="Arial"/>
          <w:sz w:val="22"/>
          <w:szCs w:val="22"/>
        </w:rPr>
      </w:pPr>
      <w:r>
        <w:rPr>
          <w:rFonts w:cs="Arial"/>
          <w:sz w:val="22"/>
          <w:szCs w:val="22"/>
        </w:rPr>
        <w:t>It is important to note that this description is a typical example of your placement and may be subject to change.</w:t>
      </w:r>
    </w:p>
    <w:p w:rsidR="000D5200" w:rsidRDefault="000D5200" w:rsidP="000D5200">
      <w:pPr>
        <w:rPr>
          <w:rFonts w:ascii="Cambria" w:hAnsi="Cambria"/>
        </w:rPr>
      </w:pPr>
    </w:p>
    <w:p w:rsidR="00DF21D4" w:rsidRPr="000D5200" w:rsidRDefault="00DF21D4" w:rsidP="000D5200"/>
    <w:sectPr w:rsidR="00DF21D4" w:rsidRPr="000D520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D5200"/>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2016-09-22T15:16:00Z</dcterms:created>
  <dcterms:modified xsi:type="dcterms:W3CDTF">2016-09-22T15:16:00Z</dcterms:modified>
</cp:coreProperties>
</file>