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32" w:rsidRDefault="00237C32" w:rsidP="00237C32">
      <w:pPr>
        <w:tabs>
          <w:tab w:val="center" w:pos="5040"/>
          <w:tab w:val="right" w:pos="9900"/>
        </w:tabs>
      </w:pPr>
      <w:bookmarkStart w:id="0" w:name="_GoBack"/>
      <w:bookmarkEnd w:id="0"/>
      <w:r>
        <w:t xml:space="preserve"> </w:t>
      </w:r>
      <w:r>
        <w:tab/>
      </w:r>
      <w:r>
        <w:tab/>
      </w:r>
    </w:p>
    <w:p w:rsidR="00237C32" w:rsidRDefault="00237C32" w:rsidP="00237C32">
      <w:pPr>
        <w:jc w:val="center"/>
        <w:rPr>
          <w:rFonts w:cs="Arial"/>
          <w:b/>
          <w:sz w:val="28"/>
          <w:szCs w:val="28"/>
        </w:rPr>
      </w:pPr>
    </w:p>
    <w:p w:rsidR="00237C32" w:rsidRPr="002C3834" w:rsidRDefault="00237C32" w:rsidP="00237C32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cs="Arial"/>
              <w:b/>
              <w:sz w:val="28"/>
              <w:szCs w:val="28"/>
            </w:rPr>
            <w:t>East Anglia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2C3834">
            <w:rPr>
              <w:rFonts w:cs="Arial"/>
              <w:b/>
              <w:sz w:val="28"/>
              <w:szCs w:val="28"/>
            </w:rPr>
            <w:t>Foundation</w:t>
          </w:r>
        </w:smartTag>
        <w:r w:rsidRPr="002C3834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C3834"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237C32" w:rsidRDefault="00237C32" w:rsidP="00237C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237C32" w:rsidRDefault="00237C32" w:rsidP="00237C32">
      <w:pPr>
        <w:jc w:val="center"/>
        <w:rPr>
          <w:rFonts w:cs="Arial"/>
          <w:b/>
          <w:sz w:val="28"/>
          <w:szCs w:val="28"/>
        </w:rPr>
      </w:pPr>
    </w:p>
    <w:p w:rsidR="00237C32" w:rsidRPr="002C3834" w:rsidRDefault="00237C32" w:rsidP="00237C32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cs="Arial"/>
              <w:b/>
              <w:sz w:val="28"/>
              <w:szCs w:val="28"/>
            </w:rPr>
            <w:t>Ipswich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 w:val="28"/>
              <w:szCs w:val="28"/>
            </w:rPr>
            <w:t>Hospital</w:t>
          </w:r>
        </w:smartTag>
      </w:smartTag>
      <w:r>
        <w:rPr>
          <w:rFonts w:cs="Arial"/>
          <w:b/>
          <w:sz w:val="28"/>
          <w:szCs w:val="28"/>
        </w:rPr>
        <w:t xml:space="preserve"> NHS Trust</w:t>
      </w:r>
    </w:p>
    <w:p w:rsidR="00237C32" w:rsidRDefault="00237C32" w:rsidP="00237C32">
      <w:pPr>
        <w:rPr>
          <w:rFonts w:cs="Arial"/>
          <w:b/>
          <w:sz w:val="22"/>
          <w:szCs w:val="22"/>
        </w:rPr>
      </w:pPr>
    </w:p>
    <w:p w:rsidR="00237C32" w:rsidRPr="0043462B" w:rsidRDefault="00237C32" w:rsidP="00237C32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Foundation School.</w:t>
      </w:r>
      <w:proofErr w:type="gramEnd"/>
    </w:p>
    <w:p w:rsidR="00237C32" w:rsidRDefault="00237C32" w:rsidP="00237C32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1426"/>
        <w:gridCol w:w="7096"/>
      </w:tblGrid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Pr="004F4EE0" w:rsidRDefault="00237C32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Pathology</w:t>
            </w:r>
          </w:p>
          <w:p w:rsidR="00237C32" w:rsidRPr="00F909C5" w:rsidRDefault="00237C32" w:rsidP="0069317B">
            <w:pPr>
              <w:jc w:val="both"/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Default="00237C32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rPr>
                <w:rFonts w:cs="Arial"/>
              </w:rPr>
            </w:pPr>
            <w:r>
              <w:rPr>
                <w:rFonts w:cs="Arial"/>
              </w:rPr>
              <w:t xml:space="preserve">Four departments participate in the Pathology rotation, with doctors typically spending 1 month in each. The haematology department comprises 4 consultants, 1 </w:t>
            </w:r>
            <w:proofErr w:type="spellStart"/>
            <w:r>
              <w:rPr>
                <w:rFonts w:cs="Arial"/>
              </w:rPr>
              <w:t>SpR</w:t>
            </w:r>
            <w:proofErr w:type="spellEnd"/>
            <w:r>
              <w:rPr>
                <w:rFonts w:cs="Arial"/>
              </w:rPr>
              <w:t xml:space="preserve">, 1 staff grade doctor. The microbiology department has 2 consultants, the histopathology department has 7 consultants and 2 </w:t>
            </w:r>
            <w:proofErr w:type="spellStart"/>
            <w:r>
              <w:rPr>
                <w:rFonts w:cs="Arial"/>
              </w:rPr>
              <w:t>SpR’s</w:t>
            </w:r>
            <w:proofErr w:type="spellEnd"/>
            <w:r>
              <w:rPr>
                <w:rFonts w:cs="Arial"/>
              </w:rPr>
              <w:t xml:space="preserve"> and the biochemistry department has 2 consultants.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Pr="00047073" w:rsidRDefault="00237C32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</w:rPr>
              <w:t>Doctors will be laboratory based during the day and not participate in the on call rota.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</w:rPr>
              <w:t xml:space="preserve">Trainees will gain understanding of </w:t>
            </w:r>
            <w:proofErr w:type="spellStart"/>
            <w:r>
              <w:rPr>
                <w:rFonts w:cs="Arial"/>
              </w:rPr>
              <w:t>multi-professional</w:t>
            </w:r>
            <w:proofErr w:type="spellEnd"/>
            <w:r>
              <w:rPr>
                <w:rFonts w:cs="Arial"/>
              </w:rPr>
              <w:t xml:space="preserve"> practice by attending multidisciplinary team meetings (MDT’s). Improve their understanding of basic pathological processes and how these underpin good clinical care.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</w:p>
          <w:p w:rsidR="00237C32" w:rsidRPr="00F909C5" w:rsidRDefault="00237C32" w:rsidP="0069317B">
            <w:pPr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Pr="004F4EE0" w:rsidRDefault="00237C32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jc w:val="both"/>
              <w:rPr>
                <w:rFonts w:cs="Arial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cs="Arial"/>
                    </w:rPr>
                    <w:t>Ipswich</w:t>
                  </w:r>
                </w:smartTag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Hospital</w:t>
                </w:r>
              </w:smartTag>
            </w:smartTag>
          </w:p>
          <w:p w:rsidR="00237C32" w:rsidRPr="00F909C5" w:rsidRDefault="00237C32" w:rsidP="0069317B">
            <w:pPr>
              <w:jc w:val="both"/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Default="00237C32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cs="Arial"/>
                <w:sz w:val="22"/>
                <w:szCs w:val="22"/>
              </w:rPr>
              <w:t>Ademokun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(haematology) , Dr Chapman (histopathology), Dr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ountry-region">
                  <w:r>
                    <w:rPr>
                      <w:rFonts w:cs="Arial"/>
                      <w:sz w:val="22"/>
                      <w:szCs w:val="22"/>
                    </w:rPr>
                    <w:t>Kent</w:t>
                  </w:r>
                </w:smartTag>
              </w:smartTag>
            </w:smartTag>
            <w:r>
              <w:rPr>
                <w:rFonts w:cs="Arial"/>
                <w:sz w:val="22"/>
                <w:szCs w:val="22"/>
              </w:rPr>
              <w:t xml:space="preserve"> (microbiology) &amp; Dr </w:t>
            </w:r>
            <w:proofErr w:type="spellStart"/>
            <w:r>
              <w:rPr>
                <w:rFonts w:cs="Arial"/>
                <w:sz w:val="22"/>
                <w:szCs w:val="22"/>
              </w:rPr>
              <w:t>Twomey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(biochemistry)</w:t>
            </w:r>
          </w:p>
          <w:p w:rsidR="00237C32" w:rsidRPr="00F909C5" w:rsidRDefault="00237C32" w:rsidP="0069317B">
            <w:pPr>
              <w:jc w:val="both"/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Default="00237C32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Trainees will not be expected to undertake pathology on-call duties.</w:t>
            </w:r>
          </w:p>
          <w:p w:rsidR="00237C32" w:rsidRPr="00F909C5" w:rsidRDefault="00237C32" w:rsidP="0069317B">
            <w:pPr>
              <w:jc w:val="both"/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Default="00237C32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237C32" w:rsidRPr="00F909C5" w:rsidRDefault="00237C32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237C32" w:rsidRPr="00046563" w:rsidRDefault="00237C32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237C32" w:rsidRPr="00D80983" w:rsidRDefault="00237C32" w:rsidP="0069317B">
            <w:pPr>
              <w:rPr>
                <w:rFonts w:cs="Arial"/>
                <w:b/>
                <w:u w:val="single"/>
              </w:rPr>
            </w:pPr>
            <w:r w:rsidRPr="00D80983">
              <w:rPr>
                <w:rFonts w:cs="Arial"/>
                <w:b/>
                <w:u w:val="single"/>
              </w:rPr>
              <w:t>Haematology</w:t>
            </w:r>
          </w:p>
          <w:p w:rsidR="00237C32" w:rsidRPr="00A71A0C" w:rsidRDefault="00237C32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</w:t>
            </w:r>
            <w:r w:rsidRPr="00A71A0C">
              <w:rPr>
                <w:rFonts w:cs="Arial"/>
                <w:sz w:val="22"/>
                <w:szCs w:val="22"/>
              </w:rPr>
              <w:t xml:space="preserve">MDT meeting;  morphology     </w:t>
            </w:r>
          </w:p>
          <w:p w:rsidR="00237C32" w:rsidRPr="00A71A0C" w:rsidRDefault="00237C32" w:rsidP="0069317B">
            <w:pPr>
              <w:rPr>
                <w:rFonts w:cs="Arial"/>
              </w:rPr>
            </w:pPr>
            <w:r w:rsidRPr="00A71A0C">
              <w:rPr>
                <w:rFonts w:cs="Arial"/>
                <w:sz w:val="22"/>
                <w:szCs w:val="22"/>
              </w:rPr>
              <w:t xml:space="preserve">Tues: Blood Transfusion; bone marrow examination &amp; morphology review.     </w:t>
            </w:r>
          </w:p>
          <w:p w:rsidR="00237C32" w:rsidRPr="00A71A0C" w:rsidRDefault="00237C32" w:rsidP="0069317B">
            <w:pPr>
              <w:rPr>
                <w:rFonts w:cs="Arial"/>
              </w:rPr>
            </w:pPr>
            <w:r w:rsidRPr="00A71A0C">
              <w:rPr>
                <w:rFonts w:cs="Arial"/>
                <w:sz w:val="22"/>
                <w:szCs w:val="22"/>
              </w:rPr>
              <w:t xml:space="preserve">Wed:  lymphoma MDT:  </w:t>
            </w:r>
            <w:r>
              <w:rPr>
                <w:rFonts w:cs="Arial"/>
                <w:sz w:val="22"/>
                <w:szCs w:val="22"/>
              </w:rPr>
              <w:t>lab work.</w:t>
            </w:r>
            <w:r w:rsidRPr="00A71A0C">
              <w:rPr>
                <w:rFonts w:cs="Arial"/>
                <w:sz w:val="22"/>
                <w:szCs w:val="22"/>
              </w:rPr>
              <w:t xml:space="preserve">      </w:t>
            </w:r>
          </w:p>
          <w:p w:rsidR="00237C32" w:rsidRPr="00A71A0C" w:rsidRDefault="00237C32" w:rsidP="0069317B">
            <w:pPr>
              <w:rPr>
                <w:rFonts w:cs="Arial"/>
              </w:rPr>
            </w:pPr>
            <w:r w:rsidRPr="00A71A0C">
              <w:rPr>
                <w:rFonts w:cs="Arial"/>
                <w:sz w:val="22"/>
                <w:szCs w:val="22"/>
              </w:rPr>
              <w:t xml:space="preserve">Thurs: anticoagulation </w:t>
            </w:r>
            <w:r>
              <w:rPr>
                <w:rFonts w:cs="Arial"/>
                <w:sz w:val="22"/>
                <w:szCs w:val="22"/>
              </w:rPr>
              <w:t>clinic &amp; lab work.</w:t>
            </w:r>
          </w:p>
          <w:p w:rsidR="00237C32" w:rsidRPr="00A71A0C" w:rsidRDefault="00237C32" w:rsidP="0069317B">
            <w:pPr>
              <w:rPr>
                <w:rFonts w:cs="Arial"/>
              </w:rPr>
            </w:pPr>
            <w:r w:rsidRPr="00A71A0C">
              <w:rPr>
                <w:rFonts w:cs="Arial"/>
                <w:sz w:val="22"/>
                <w:szCs w:val="22"/>
              </w:rPr>
              <w:t xml:space="preserve">Fri:   audit work </w:t>
            </w:r>
            <w:r>
              <w:rPr>
                <w:rFonts w:cs="Arial"/>
                <w:sz w:val="22"/>
                <w:szCs w:val="22"/>
              </w:rPr>
              <w:t>and presentations.</w:t>
            </w:r>
            <w:r w:rsidRPr="00A71A0C">
              <w:rPr>
                <w:rFonts w:cs="Arial"/>
                <w:sz w:val="22"/>
                <w:szCs w:val="22"/>
              </w:rPr>
              <w:t xml:space="preserve">           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            </w:t>
            </w:r>
          </w:p>
          <w:p w:rsidR="00237C32" w:rsidRPr="00D80983" w:rsidRDefault="00237C32" w:rsidP="0069317B">
            <w:pPr>
              <w:rPr>
                <w:rFonts w:cs="Arial"/>
                <w:b/>
                <w:u w:val="single"/>
              </w:rPr>
            </w:pPr>
            <w:r w:rsidRPr="00D80983">
              <w:rPr>
                <w:rFonts w:cs="Arial"/>
                <w:b/>
                <w:u w:val="single"/>
              </w:rPr>
              <w:t>Histopathology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Working with one of the consultants for a week at a time. Will attend </w:t>
            </w:r>
            <w:r>
              <w:rPr>
                <w:rFonts w:cs="Arial"/>
                <w:sz w:val="22"/>
                <w:szCs w:val="22"/>
              </w:rPr>
              <w:lastRenderedPageBreak/>
              <w:t>consultant lead specific MDT meetings, gain understanding of the principles of microscopy and surgical cut up. Review cytology bench work.</w:t>
            </w:r>
            <w:r w:rsidRPr="00046563">
              <w:rPr>
                <w:rFonts w:cs="Arial"/>
                <w:sz w:val="22"/>
                <w:szCs w:val="22"/>
              </w:rPr>
              <w:t xml:space="preserve">             </w:t>
            </w:r>
          </w:p>
          <w:p w:rsidR="00237C32" w:rsidRPr="00D80983" w:rsidRDefault="00237C32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              </w:t>
            </w:r>
          </w:p>
          <w:p w:rsidR="00237C32" w:rsidRPr="00D80983" w:rsidRDefault="00237C32" w:rsidP="0069317B">
            <w:pPr>
              <w:rPr>
                <w:rFonts w:cs="Arial"/>
                <w:b/>
                <w:u w:val="single"/>
              </w:rPr>
            </w:pPr>
            <w:r w:rsidRPr="00D80983">
              <w:rPr>
                <w:rFonts w:cs="Arial"/>
                <w:b/>
                <w:sz w:val="22"/>
                <w:szCs w:val="22"/>
                <w:u w:val="single"/>
              </w:rPr>
              <w:t>Microbiology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Mon: Introduction to laboratory. Bench experience.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Tues: Bench experience. Clinical liaison.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Wed: Bench experience. Clinical liaison.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Thurs: Ward visits. Audit.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Fri: Infection control.</w:t>
            </w:r>
          </w:p>
          <w:p w:rsidR="00237C32" w:rsidRPr="00D80983" w:rsidRDefault="00237C32" w:rsidP="0069317B">
            <w:pPr>
              <w:rPr>
                <w:rFonts w:cs="Arial"/>
                <w:b/>
                <w:u w:val="single"/>
              </w:rPr>
            </w:pPr>
            <w:r w:rsidRPr="00D80983">
              <w:rPr>
                <w:rFonts w:cs="Arial"/>
                <w:b/>
                <w:sz w:val="22"/>
                <w:szCs w:val="22"/>
                <w:u w:val="single"/>
              </w:rPr>
              <w:t>Biochemistry</w:t>
            </w:r>
          </w:p>
          <w:p w:rsidR="00237C32" w:rsidRDefault="00237C32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Bench experience and attendance in lipid and metabolic clinics.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</w:p>
          <w:p w:rsidR="00237C32" w:rsidRDefault="00237C32" w:rsidP="0069317B">
            <w:pPr>
              <w:rPr>
                <w:rFonts w:cs="Arial"/>
              </w:rPr>
            </w:pPr>
            <w:r w:rsidRPr="00046563">
              <w:rPr>
                <w:rFonts w:cs="Arial"/>
                <w:i/>
                <w:sz w:val="22"/>
                <w:szCs w:val="22"/>
              </w:rPr>
              <w:t>On call requirements:</w:t>
            </w:r>
            <w:r w:rsidRPr="00F909C5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None</w:t>
            </w:r>
          </w:p>
          <w:p w:rsidR="00237C32" w:rsidRPr="00F909C5" w:rsidRDefault="00237C32" w:rsidP="0069317B">
            <w:pPr>
              <w:rPr>
                <w:rFonts w:cs="Arial"/>
              </w:rPr>
            </w:pPr>
          </w:p>
        </w:tc>
      </w:tr>
      <w:tr w:rsidR="00237C32" w:rsidRPr="004F4EE0" w:rsidTr="0069317B">
        <w:trPr>
          <w:trHeight w:val="144"/>
        </w:trPr>
        <w:tc>
          <w:tcPr>
            <w:tcW w:w="3851" w:type="dxa"/>
          </w:tcPr>
          <w:p w:rsidR="00237C32" w:rsidRPr="00C70B03" w:rsidRDefault="00237C32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tbl>
            <w:tblPr>
              <w:tblW w:w="8028" w:type="dxa"/>
              <w:tblLook w:val="01E0" w:firstRow="1" w:lastRow="1" w:firstColumn="1" w:lastColumn="1" w:noHBand="0" w:noVBand="0"/>
            </w:tblPr>
            <w:tblGrid>
              <w:gridCol w:w="8028"/>
            </w:tblGrid>
            <w:tr w:rsidR="00237C32" w:rsidRPr="005F5E9F" w:rsidTr="0069317B">
              <w:trPr>
                <w:trHeight w:val="144"/>
              </w:trPr>
              <w:tc>
                <w:tcPr>
                  <w:tcW w:w="4177" w:type="dxa"/>
                </w:tcPr>
                <w:p w:rsidR="00237C32" w:rsidRPr="005F5E9F" w:rsidRDefault="00237C32" w:rsidP="0069317B">
                  <w:pPr>
                    <w:pStyle w:val="BodyText"/>
                    <w:rPr>
                      <w:rFonts w:ascii="Arial" w:hAnsi="Arial" w:cs="Arial"/>
                      <w:szCs w:val="22"/>
                    </w:rPr>
                  </w:pPr>
                  <w:r w:rsidRPr="005F5E9F">
                    <w:rPr>
                      <w:rFonts w:ascii="Arial" w:hAnsi="Arial" w:cs="Arial"/>
                      <w:szCs w:val="22"/>
                    </w:rPr>
                    <w:t>The Ipswich Hospital NHS trust is situated on the edge of Ipswich, County town of Suffolk. It has appr</w:t>
                  </w:r>
                  <w:r>
                    <w:rPr>
                      <w:rFonts w:ascii="Arial" w:hAnsi="Arial" w:cs="Arial"/>
                      <w:szCs w:val="22"/>
                    </w:rPr>
                    <w:t>oximately 550 beds and covers a mixed</w:t>
                  </w:r>
                  <w:r w:rsidRPr="005F5E9F">
                    <w:rPr>
                      <w:rFonts w:ascii="Arial" w:hAnsi="Arial" w:cs="Arial"/>
                      <w:szCs w:val="22"/>
                    </w:rPr>
                    <w:t xml:space="preserve"> urban and rural population of 360000 people. The hospital is close to beautiful countryside and the Suffolk Heritage Coast but has easy links to London (j</w:t>
                  </w:r>
                  <w:r>
                    <w:rPr>
                      <w:rFonts w:ascii="Arial" w:hAnsi="Arial" w:cs="Arial"/>
                      <w:szCs w:val="22"/>
                    </w:rPr>
                    <w:t>ust over an hour by train). The</w:t>
                  </w:r>
                  <w:r w:rsidRPr="005F5E9F">
                    <w:rPr>
                      <w:rFonts w:ascii="Arial" w:hAnsi="Arial" w:cs="Arial"/>
                      <w:szCs w:val="22"/>
                    </w:rPr>
                    <w:t xml:space="preserve"> hospital has a full range of diagnostic facilities and a well-resourced library and postgraduate centre.</w:t>
                  </w:r>
                </w:p>
                <w:p w:rsidR="00237C32" w:rsidRPr="005F5E9F" w:rsidRDefault="00237C32" w:rsidP="0069317B">
                  <w:pPr>
                    <w:pStyle w:val="BodyTex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237C32" w:rsidRDefault="00237C32" w:rsidP="0069317B">
            <w:pPr>
              <w:pStyle w:val="PlainText"/>
            </w:pPr>
          </w:p>
          <w:p w:rsidR="00237C32" w:rsidRPr="00F909C5" w:rsidRDefault="00237C32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237C32" w:rsidRPr="00F909C5" w:rsidRDefault="00237C32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237C32" w:rsidRDefault="00237C32" w:rsidP="00237C32"/>
    <w:p w:rsidR="00DF21D4" w:rsidRPr="00237C32" w:rsidRDefault="00DF21D4" w:rsidP="00237C32"/>
    <w:sectPr w:rsidR="00DF21D4" w:rsidRPr="00237C32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06"/>
    <w:multiLevelType w:val="hybridMultilevel"/>
    <w:tmpl w:val="F73AF62E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E708B"/>
    <w:multiLevelType w:val="hybridMultilevel"/>
    <w:tmpl w:val="AB4606C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1"/>
  </w:num>
  <w:num w:numId="15">
    <w:abstractNumId w:val="6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955B9"/>
    <w:rsid w:val="000A605D"/>
    <w:rsid w:val="000E4AAE"/>
    <w:rsid w:val="000F4C03"/>
    <w:rsid w:val="001610E2"/>
    <w:rsid w:val="001B43CB"/>
    <w:rsid w:val="00204618"/>
    <w:rsid w:val="00237C32"/>
    <w:rsid w:val="003422F0"/>
    <w:rsid w:val="003520AB"/>
    <w:rsid w:val="00363F01"/>
    <w:rsid w:val="003963AC"/>
    <w:rsid w:val="00472B89"/>
    <w:rsid w:val="00495A12"/>
    <w:rsid w:val="00524ED1"/>
    <w:rsid w:val="00552ADE"/>
    <w:rsid w:val="00573925"/>
    <w:rsid w:val="005966EF"/>
    <w:rsid w:val="005A3F32"/>
    <w:rsid w:val="005F73FC"/>
    <w:rsid w:val="00674C24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9E11BC"/>
    <w:rsid w:val="00A13A79"/>
    <w:rsid w:val="00A65291"/>
    <w:rsid w:val="00AB50E2"/>
    <w:rsid w:val="00B174AE"/>
    <w:rsid w:val="00B22CFE"/>
    <w:rsid w:val="00BC5EC3"/>
    <w:rsid w:val="00C2247A"/>
    <w:rsid w:val="00C613B3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2016-09-22T13:36:00Z</dcterms:created>
  <dcterms:modified xsi:type="dcterms:W3CDTF">2016-09-22T13:36:00Z</dcterms:modified>
</cp:coreProperties>
</file>