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21C" w:rsidRDefault="00A0521C" w:rsidP="00A0521C">
      <w:pPr>
        <w:tabs>
          <w:tab w:val="center" w:pos="5040"/>
          <w:tab w:val="right" w:pos="9900"/>
        </w:tabs>
      </w:pPr>
      <w:r>
        <w:t xml:space="preserve"> </w:t>
      </w:r>
      <w:r>
        <w:tab/>
      </w:r>
      <w:r>
        <w:tab/>
      </w:r>
      <w:bookmarkStart w:id="0" w:name="_GoBack"/>
      <w:bookmarkEnd w:id="0"/>
    </w:p>
    <w:p w:rsidR="00A0521C" w:rsidRDefault="00A0521C" w:rsidP="00A0521C">
      <w:pPr>
        <w:jc w:val="center"/>
        <w:rPr>
          <w:rFonts w:cs="Arial"/>
          <w:b/>
          <w:sz w:val="28"/>
          <w:szCs w:val="28"/>
        </w:rPr>
      </w:pPr>
    </w:p>
    <w:p w:rsidR="00A0521C" w:rsidRDefault="00A0521C" w:rsidP="00A0521C">
      <w:pPr>
        <w:jc w:val="center"/>
        <w:rPr>
          <w:rFonts w:cs="Arial"/>
          <w:b/>
          <w:sz w:val="28"/>
          <w:szCs w:val="28"/>
        </w:rPr>
      </w:pPr>
      <w:r>
        <w:rPr>
          <w:rFonts w:cs="Arial"/>
          <w:b/>
          <w:sz w:val="28"/>
          <w:szCs w:val="28"/>
        </w:rPr>
        <w:t>East Anglia Foundation School</w:t>
      </w:r>
    </w:p>
    <w:p w:rsidR="00A0521C" w:rsidRDefault="00A0521C" w:rsidP="00A0521C">
      <w:pPr>
        <w:jc w:val="center"/>
        <w:rPr>
          <w:rFonts w:cs="Arial"/>
          <w:b/>
          <w:sz w:val="28"/>
          <w:szCs w:val="28"/>
        </w:rPr>
      </w:pPr>
      <w:r>
        <w:rPr>
          <w:rFonts w:cs="Arial"/>
          <w:b/>
          <w:sz w:val="28"/>
          <w:szCs w:val="28"/>
        </w:rPr>
        <w:t xml:space="preserve">Individual Placement Description </w:t>
      </w:r>
    </w:p>
    <w:p w:rsidR="00A0521C" w:rsidRDefault="00A0521C" w:rsidP="00A0521C">
      <w:pPr>
        <w:jc w:val="center"/>
        <w:rPr>
          <w:rFonts w:cs="Arial"/>
          <w:b/>
          <w:sz w:val="28"/>
          <w:szCs w:val="28"/>
        </w:rPr>
      </w:pPr>
    </w:p>
    <w:p w:rsidR="00A0521C" w:rsidRDefault="00A0521C" w:rsidP="00A0521C">
      <w:pPr>
        <w:jc w:val="center"/>
        <w:rPr>
          <w:rFonts w:cs="Arial"/>
          <w:b/>
          <w:sz w:val="28"/>
          <w:szCs w:val="28"/>
        </w:rPr>
      </w:pPr>
      <w:r>
        <w:rPr>
          <w:rFonts w:cs="Arial"/>
          <w:b/>
          <w:sz w:val="28"/>
          <w:szCs w:val="28"/>
        </w:rPr>
        <w:t>Peterborough and Stamford Hospitals NHS Foundation Trust</w:t>
      </w:r>
    </w:p>
    <w:p w:rsidR="00A0521C" w:rsidRDefault="00A0521C" w:rsidP="00A0521C">
      <w:pPr>
        <w:rPr>
          <w:rFonts w:cs="Arial"/>
          <w:b/>
          <w:sz w:val="22"/>
          <w:szCs w:val="22"/>
        </w:rPr>
      </w:pPr>
    </w:p>
    <w:p w:rsidR="00A0521C" w:rsidRDefault="00A0521C" w:rsidP="00A0521C">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7386"/>
      </w:tblGrid>
      <w:tr w:rsidR="00A0521C" w:rsidTr="00A0521C">
        <w:trPr>
          <w:trHeight w:val="411"/>
        </w:trPr>
        <w:tc>
          <w:tcPr>
            <w:tcW w:w="3851" w:type="dxa"/>
            <w:tcBorders>
              <w:top w:val="single" w:sz="4" w:space="0" w:color="auto"/>
              <w:left w:val="single" w:sz="4" w:space="0" w:color="auto"/>
              <w:bottom w:val="single" w:sz="4" w:space="0" w:color="auto"/>
              <w:right w:val="single" w:sz="4" w:space="0" w:color="auto"/>
            </w:tcBorders>
            <w:hideMark/>
          </w:tcPr>
          <w:p w:rsidR="00A0521C" w:rsidRDefault="00A0521C">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A0521C" w:rsidRDefault="00A0521C">
            <w:pPr>
              <w:rPr>
                <w:rFonts w:cs="Arial"/>
                <w:sz w:val="20"/>
                <w:szCs w:val="20"/>
                <w:lang w:eastAsia="en-US"/>
              </w:rPr>
            </w:pPr>
            <w:r>
              <w:rPr>
                <w:rFonts w:cs="Arial"/>
                <w:sz w:val="20"/>
                <w:szCs w:val="20"/>
              </w:rPr>
              <w:t>F2 Psychiatry</w:t>
            </w:r>
          </w:p>
        </w:tc>
      </w:tr>
      <w:tr w:rsidR="00A0521C" w:rsidTr="00A0521C">
        <w:trPr>
          <w:trHeight w:val="351"/>
        </w:trPr>
        <w:tc>
          <w:tcPr>
            <w:tcW w:w="3851" w:type="dxa"/>
            <w:tcBorders>
              <w:top w:val="single" w:sz="4" w:space="0" w:color="auto"/>
              <w:left w:val="single" w:sz="4" w:space="0" w:color="auto"/>
              <w:bottom w:val="single" w:sz="4" w:space="0" w:color="auto"/>
              <w:right w:val="single" w:sz="4" w:space="0" w:color="auto"/>
            </w:tcBorders>
            <w:hideMark/>
          </w:tcPr>
          <w:p w:rsidR="00A0521C" w:rsidRDefault="00A0521C">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hideMark/>
          </w:tcPr>
          <w:p w:rsidR="00A0521C" w:rsidRDefault="00A0521C">
            <w:pPr>
              <w:rPr>
                <w:rFonts w:cs="Arial"/>
                <w:color w:val="FF0000"/>
                <w:sz w:val="20"/>
                <w:szCs w:val="20"/>
                <w:lang w:eastAsia="en-US"/>
              </w:rPr>
            </w:pPr>
            <w:r>
              <w:rPr>
                <w:rFonts w:cs="Arial"/>
                <w:sz w:val="20"/>
                <w:szCs w:val="20"/>
              </w:rPr>
              <w:t>Psychiatry, Acute Assessment Unit</w:t>
            </w:r>
          </w:p>
        </w:tc>
      </w:tr>
      <w:tr w:rsidR="00A0521C" w:rsidTr="00A0521C">
        <w:trPr>
          <w:trHeight w:val="144"/>
        </w:trPr>
        <w:tc>
          <w:tcPr>
            <w:tcW w:w="3851" w:type="dxa"/>
            <w:tcBorders>
              <w:top w:val="single" w:sz="4" w:space="0" w:color="auto"/>
              <w:left w:val="single" w:sz="4" w:space="0" w:color="auto"/>
              <w:bottom w:val="single" w:sz="4" w:space="0" w:color="auto"/>
              <w:right w:val="single" w:sz="4" w:space="0" w:color="auto"/>
            </w:tcBorders>
            <w:hideMark/>
          </w:tcPr>
          <w:p w:rsidR="00A0521C" w:rsidRDefault="00A0521C">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A0521C" w:rsidRDefault="00A0521C">
            <w:pPr>
              <w:rPr>
                <w:rFonts w:cs="Arial"/>
                <w:sz w:val="20"/>
                <w:szCs w:val="20"/>
                <w:lang w:eastAsia="en-US"/>
              </w:rPr>
            </w:pPr>
            <w:r>
              <w:rPr>
                <w:rFonts w:cs="Arial"/>
                <w:sz w:val="20"/>
                <w:szCs w:val="20"/>
              </w:rPr>
              <w:t>All F2 doctors in hospital posts will general be ward based during the ‘normal’ working day and expected to deliver the daily medical care of all the patients on their ward irrespective of specialty.</w:t>
            </w:r>
          </w:p>
          <w:p w:rsidR="00A0521C" w:rsidRDefault="00A0521C">
            <w:pPr>
              <w:rPr>
                <w:rFonts w:cs="Arial"/>
                <w:sz w:val="20"/>
                <w:szCs w:val="20"/>
              </w:rPr>
            </w:pPr>
            <w:r>
              <w:rPr>
                <w:rFonts w:cs="Arial"/>
                <w:sz w:val="20"/>
                <w:szCs w:val="20"/>
              </w:rPr>
              <w:t>The overall educational objectives of the F2 year are to provide the trainee with the knowledge, skills and attitudes to be able to:</w:t>
            </w:r>
          </w:p>
          <w:p w:rsidR="00A0521C" w:rsidRDefault="00A0521C" w:rsidP="0035783F">
            <w:pPr>
              <w:numPr>
                <w:ilvl w:val="0"/>
                <w:numId w:val="1"/>
              </w:numPr>
              <w:rPr>
                <w:rFonts w:cs="Arial"/>
                <w:sz w:val="20"/>
                <w:szCs w:val="20"/>
              </w:rPr>
            </w:pPr>
            <w:r>
              <w:rPr>
                <w:rFonts w:cs="Arial"/>
                <w:sz w:val="20"/>
                <w:szCs w:val="20"/>
              </w:rPr>
              <w:t>Take a history and examine a patient</w:t>
            </w:r>
          </w:p>
          <w:p w:rsidR="00A0521C" w:rsidRDefault="00A0521C" w:rsidP="0035783F">
            <w:pPr>
              <w:numPr>
                <w:ilvl w:val="0"/>
                <w:numId w:val="1"/>
              </w:numPr>
              <w:rPr>
                <w:rFonts w:cs="Arial"/>
                <w:sz w:val="20"/>
                <w:szCs w:val="20"/>
              </w:rPr>
            </w:pPr>
            <w:r>
              <w:rPr>
                <w:rFonts w:cs="Arial"/>
                <w:sz w:val="20"/>
                <w:szCs w:val="20"/>
              </w:rPr>
              <w:t>Identify and synthesise problems</w:t>
            </w:r>
          </w:p>
          <w:p w:rsidR="00A0521C" w:rsidRDefault="00A0521C" w:rsidP="0035783F">
            <w:pPr>
              <w:numPr>
                <w:ilvl w:val="0"/>
                <w:numId w:val="1"/>
              </w:numPr>
              <w:rPr>
                <w:rFonts w:cs="Arial"/>
                <w:sz w:val="20"/>
                <w:szCs w:val="20"/>
              </w:rPr>
            </w:pPr>
            <w:r>
              <w:rPr>
                <w:rFonts w:cs="Arial"/>
                <w:sz w:val="20"/>
                <w:szCs w:val="20"/>
              </w:rPr>
              <w:t>Prescribe safely</w:t>
            </w:r>
          </w:p>
          <w:p w:rsidR="00A0521C" w:rsidRDefault="00A0521C" w:rsidP="0035783F">
            <w:pPr>
              <w:numPr>
                <w:ilvl w:val="0"/>
                <w:numId w:val="1"/>
              </w:numPr>
              <w:rPr>
                <w:rFonts w:cs="Arial"/>
                <w:sz w:val="20"/>
                <w:szCs w:val="20"/>
              </w:rPr>
            </w:pPr>
            <w:r>
              <w:rPr>
                <w:rFonts w:cs="Arial"/>
                <w:sz w:val="20"/>
                <w:szCs w:val="20"/>
              </w:rPr>
              <w:t>Keep an accurate and relevant medical record</w:t>
            </w:r>
          </w:p>
          <w:p w:rsidR="00A0521C" w:rsidRDefault="00A0521C" w:rsidP="0035783F">
            <w:pPr>
              <w:numPr>
                <w:ilvl w:val="0"/>
                <w:numId w:val="1"/>
              </w:numPr>
              <w:rPr>
                <w:rFonts w:cs="Arial"/>
                <w:sz w:val="20"/>
                <w:szCs w:val="20"/>
              </w:rPr>
            </w:pPr>
            <w:r>
              <w:rPr>
                <w:rFonts w:cs="Arial"/>
                <w:sz w:val="20"/>
                <w:szCs w:val="20"/>
              </w:rPr>
              <w:t>Manage time and clinical priorities effectively</w:t>
            </w:r>
          </w:p>
          <w:p w:rsidR="00A0521C" w:rsidRDefault="00A0521C" w:rsidP="0035783F">
            <w:pPr>
              <w:numPr>
                <w:ilvl w:val="0"/>
                <w:numId w:val="1"/>
              </w:numPr>
              <w:rPr>
                <w:rFonts w:cs="Arial"/>
                <w:sz w:val="20"/>
                <w:szCs w:val="20"/>
              </w:rPr>
            </w:pPr>
            <w:r>
              <w:rPr>
                <w:rFonts w:cs="Arial"/>
                <w:sz w:val="20"/>
                <w:szCs w:val="20"/>
              </w:rPr>
              <w:t>Communicate effectively with patients, relatives and colleagues</w:t>
            </w:r>
          </w:p>
          <w:p w:rsidR="00A0521C" w:rsidRDefault="00A0521C" w:rsidP="0035783F">
            <w:pPr>
              <w:numPr>
                <w:ilvl w:val="0"/>
                <w:numId w:val="1"/>
              </w:numPr>
              <w:rPr>
                <w:rFonts w:cs="Arial"/>
                <w:sz w:val="20"/>
                <w:szCs w:val="20"/>
              </w:rPr>
            </w:pPr>
            <w:r>
              <w:rPr>
                <w:rFonts w:cs="Arial"/>
                <w:sz w:val="20"/>
                <w:szCs w:val="20"/>
              </w:rPr>
              <w:t>Use evidence, guidelines and audit to benefit patient care</w:t>
            </w:r>
          </w:p>
          <w:p w:rsidR="00A0521C" w:rsidRDefault="00A0521C" w:rsidP="0035783F">
            <w:pPr>
              <w:numPr>
                <w:ilvl w:val="0"/>
                <w:numId w:val="1"/>
              </w:numPr>
              <w:rPr>
                <w:rFonts w:cs="Arial"/>
                <w:sz w:val="20"/>
                <w:szCs w:val="20"/>
              </w:rPr>
            </w:pPr>
            <w:r>
              <w:rPr>
                <w:rFonts w:cs="Arial"/>
                <w:sz w:val="20"/>
                <w:szCs w:val="20"/>
              </w:rPr>
              <w:t>Act in a professional manner at all times</w:t>
            </w:r>
          </w:p>
          <w:p w:rsidR="00A0521C" w:rsidRDefault="00A0521C" w:rsidP="0035783F">
            <w:pPr>
              <w:numPr>
                <w:ilvl w:val="0"/>
                <w:numId w:val="1"/>
              </w:numPr>
              <w:rPr>
                <w:rFonts w:cs="Arial"/>
                <w:sz w:val="20"/>
                <w:szCs w:val="20"/>
              </w:rPr>
            </w:pPr>
            <w:r>
              <w:rPr>
                <w:rFonts w:cs="Arial"/>
                <w:sz w:val="20"/>
                <w:szCs w:val="20"/>
              </w:rPr>
              <w:t>Cope with ethical and legal issues which occur during the management of patients with general medical problems</w:t>
            </w:r>
          </w:p>
          <w:p w:rsidR="00A0521C" w:rsidRDefault="00A0521C" w:rsidP="0035783F">
            <w:pPr>
              <w:numPr>
                <w:ilvl w:val="0"/>
                <w:numId w:val="1"/>
              </w:numPr>
              <w:rPr>
                <w:rFonts w:cs="Arial"/>
                <w:sz w:val="20"/>
                <w:szCs w:val="20"/>
              </w:rPr>
            </w:pPr>
            <w:r>
              <w:rPr>
                <w:rFonts w:cs="Arial"/>
                <w:sz w:val="20"/>
                <w:szCs w:val="20"/>
              </w:rPr>
              <w:t>Educate patients effectively</w:t>
            </w:r>
          </w:p>
          <w:p w:rsidR="00A0521C" w:rsidRDefault="00A0521C" w:rsidP="0035783F">
            <w:pPr>
              <w:numPr>
                <w:ilvl w:val="0"/>
                <w:numId w:val="1"/>
              </w:numPr>
              <w:rPr>
                <w:rFonts w:cs="Arial"/>
                <w:sz w:val="20"/>
                <w:szCs w:val="20"/>
              </w:rPr>
            </w:pPr>
            <w:r>
              <w:rPr>
                <w:rFonts w:cs="Arial"/>
                <w:sz w:val="20"/>
                <w:szCs w:val="20"/>
              </w:rPr>
              <w:t>Become life-long learners and teachers</w:t>
            </w:r>
          </w:p>
          <w:p w:rsidR="00A0521C" w:rsidRDefault="00A0521C">
            <w:pPr>
              <w:rPr>
                <w:rFonts w:cs="Arial"/>
                <w:sz w:val="20"/>
                <w:szCs w:val="20"/>
                <w:lang w:eastAsia="en-US"/>
              </w:rPr>
            </w:pPr>
          </w:p>
        </w:tc>
      </w:tr>
      <w:tr w:rsidR="00A0521C" w:rsidTr="00A0521C">
        <w:trPr>
          <w:trHeight w:val="383"/>
        </w:trPr>
        <w:tc>
          <w:tcPr>
            <w:tcW w:w="3851" w:type="dxa"/>
            <w:tcBorders>
              <w:top w:val="single" w:sz="4" w:space="0" w:color="auto"/>
              <w:left w:val="single" w:sz="4" w:space="0" w:color="auto"/>
              <w:bottom w:val="single" w:sz="4" w:space="0" w:color="auto"/>
              <w:right w:val="single" w:sz="4" w:space="0" w:color="auto"/>
            </w:tcBorders>
            <w:hideMark/>
          </w:tcPr>
          <w:p w:rsidR="00A0521C" w:rsidRDefault="00A0521C">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A0521C" w:rsidRDefault="00A0521C">
            <w:pPr>
              <w:rPr>
                <w:rFonts w:cs="Arial"/>
                <w:color w:val="FF0000"/>
                <w:sz w:val="20"/>
                <w:szCs w:val="20"/>
                <w:lang w:eastAsia="en-US"/>
              </w:rPr>
            </w:pPr>
            <w:r>
              <w:rPr>
                <w:rFonts w:cs="Arial"/>
                <w:sz w:val="20"/>
                <w:szCs w:val="20"/>
              </w:rPr>
              <w:t>Cavell Centre, Peterborough</w:t>
            </w:r>
          </w:p>
        </w:tc>
      </w:tr>
      <w:tr w:rsidR="00A0521C" w:rsidTr="00A0521C">
        <w:trPr>
          <w:trHeight w:val="144"/>
        </w:trPr>
        <w:tc>
          <w:tcPr>
            <w:tcW w:w="3851" w:type="dxa"/>
            <w:tcBorders>
              <w:top w:val="single" w:sz="4" w:space="0" w:color="auto"/>
              <w:left w:val="single" w:sz="4" w:space="0" w:color="auto"/>
              <w:bottom w:val="single" w:sz="4" w:space="0" w:color="auto"/>
              <w:right w:val="single" w:sz="4" w:space="0" w:color="auto"/>
            </w:tcBorders>
            <w:hideMark/>
          </w:tcPr>
          <w:p w:rsidR="00A0521C" w:rsidRDefault="00A0521C">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A0521C" w:rsidRDefault="00A0521C">
            <w:pPr>
              <w:rPr>
                <w:rFonts w:cs="Arial"/>
                <w:sz w:val="20"/>
                <w:szCs w:val="20"/>
                <w:lang w:eastAsia="en-US"/>
              </w:rPr>
            </w:pPr>
            <w:r>
              <w:rPr>
                <w:rFonts w:cs="Arial"/>
                <w:sz w:val="20"/>
                <w:szCs w:val="20"/>
              </w:rPr>
              <w:t xml:space="preserve">Dr </w:t>
            </w:r>
            <w:proofErr w:type="spellStart"/>
            <w:r>
              <w:rPr>
                <w:rFonts w:cs="Arial"/>
                <w:sz w:val="20"/>
                <w:szCs w:val="20"/>
              </w:rPr>
              <w:t>Zahoor</w:t>
            </w:r>
            <w:proofErr w:type="spellEnd"/>
            <w:r>
              <w:rPr>
                <w:rFonts w:cs="Arial"/>
                <w:sz w:val="20"/>
                <w:szCs w:val="20"/>
              </w:rPr>
              <w:t xml:space="preserve"> Syed</w:t>
            </w:r>
          </w:p>
        </w:tc>
      </w:tr>
      <w:tr w:rsidR="00A0521C" w:rsidTr="00A0521C">
        <w:trPr>
          <w:trHeight w:val="144"/>
        </w:trPr>
        <w:tc>
          <w:tcPr>
            <w:tcW w:w="3851" w:type="dxa"/>
            <w:tcBorders>
              <w:top w:val="single" w:sz="4" w:space="0" w:color="auto"/>
              <w:left w:val="single" w:sz="4" w:space="0" w:color="auto"/>
              <w:bottom w:val="single" w:sz="4" w:space="0" w:color="auto"/>
              <w:right w:val="single" w:sz="4" w:space="0" w:color="auto"/>
            </w:tcBorders>
            <w:hideMark/>
          </w:tcPr>
          <w:p w:rsidR="00A0521C" w:rsidRDefault="00A0521C">
            <w:pPr>
              <w:rPr>
                <w:rFonts w:cs="Arial"/>
                <w:b/>
                <w:lang w:eastAsia="en-US"/>
              </w:rPr>
            </w:pPr>
            <w:r>
              <w:rPr>
                <w:rFonts w:cs="Arial"/>
                <w:b/>
                <w:sz w:val="22"/>
                <w:szCs w:val="22"/>
              </w:rPr>
              <w:t>Main duties of the placement</w:t>
            </w:r>
          </w:p>
        </w:tc>
        <w:tc>
          <w:tcPr>
            <w:tcW w:w="5257" w:type="dxa"/>
            <w:tcBorders>
              <w:top w:val="single" w:sz="4" w:space="0" w:color="auto"/>
              <w:left w:val="single" w:sz="4" w:space="0" w:color="auto"/>
              <w:bottom w:val="single" w:sz="4" w:space="0" w:color="auto"/>
              <w:right w:val="single" w:sz="4" w:space="0" w:color="auto"/>
            </w:tcBorders>
          </w:tcPr>
          <w:p w:rsidR="00A0521C" w:rsidRDefault="00A0521C">
            <w:pPr>
              <w:rPr>
                <w:rFonts w:cs="Arial"/>
                <w:sz w:val="20"/>
                <w:szCs w:val="20"/>
                <w:lang w:eastAsia="en-US"/>
              </w:rPr>
            </w:pPr>
            <w:r>
              <w:rPr>
                <w:rFonts w:cs="Arial"/>
                <w:sz w:val="20"/>
                <w:szCs w:val="20"/>
              </w:rPr>
              <w:t xml:space="preserve">Clerking patients, mental state examination, physical examination, risk assessment and management planning. This work will be shared with a CT1 trainee on an 8 bedded unit. </w:t>
            </w:r>
            <w:proofErr w:type="spellStart"/>
            <w:r>
              <w:rPr>
                <w:rFonts w:cs="Arial"/>
                <w:sz w:val="20"/>
                <w:szCs w:val="20"/>
              </w:rPr>
              <w:t>Out patient</w:t>
            </w:r>
            <w:proofErr w:type="spellEnd"/>
            <w:r>
              <w:rPr>
                <w:rFonts w:cs="Arial"/>
                <w:sz w:val="20"/>
                <w:szCs w:val="20"/>
              </w:rPr>
              <w:t xml:space="preserve"> clinic to review patients discharged from the Assessment Unit to gain knowledge and understanding about the longer term management of common mental disorders, prepare admission and discharge summaries. Update CPA documents and complete HONOS. Liaison with other teams and families, monitoring of mental and physical health, communication with G.P practices.  To manage one detox bed under close supervision.</w:t>
            </w:r>
          </w:p>
          <w:p w:rsidR="00A0521C" w:rsidRDefault="00A0521C">
            <w:pPr>
              <w:rPr>
                <w:rFonts w:cs="Arial"/>
                <w:sz w:val="20"/>
                <w:szCs w:val="20"/>
              </w:rPr>
            </w:pPr>
          </w:p>
          <w:p w:rsidR="00A0521C" w:rsidRDefault="00A0521C">
            <w:pPr>
              <w:rPr>
                <w:rFonts w:cs="Arial"/>
                <w:sz w:val="20"/>
                <w:szCs w:val="20"/>
                <w:lang w:eastAsia="en-US"/>
              </w:rPr>
            </w:pPr>
          </w:p>
        </w:tc>
      </w:tr>
      <w:tr w:rsidR="00A0521C" w:rsidTr="00A0521C">
        <w:trPr>
          <w:trHeight w:val="4483"/>
        </w:trPr>
        <w:tc>
          <w:tcPr>
            <w:tcW w:w="3851" w:type="dxa"/>
            <w:tcBorders>
              <w:top w:val="single" w:sz="4" w:space="0" w:color="auto"/>
              <w:left w:val="single" w:sz="4" w:space="0" w:color="auto"/>
              <w:bottom w:val="single" w:sz="4" w:space="0" w:color="auto"/>
              <w:right w:val="single" w:sz="4" w:space="0" w:color="auto"/>
            </w:tcBorders>
            <w:hideMark/>
          </w:tcPr>
          <w:p w:rsidR="00A0521C" w:rsidRDefault="00A0521C">
            <w:pPr>
              <w:rPr>
                <w:rFonts w:cs="Arial"/>
                <w:b/>
                <w:lang w:eastAsia="en-US"/>
              </w:rPr>
            </w:pPr>
            <w:r>
              <w:rPr>
                <w:rFonts w:cs="Arial"/>
                <w:b/>
                <w:sz w:val="22"/>
                <w:szCs w:val="22"/>
              </w:rPr>
              <w:lastRenderedPageBreak/>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4"/>
              <w:gridCol w:w="1306"/>
              <w:gridCol w:w="1306"/>
              <w:gridCol w:w="1328"/>
              <w:gridCol w:w="1306"/>
              <w:gridCol w:w="1306"/>
            </w:tblGrid>
            <w:tr w:rsidR="00A0521C">
              <w:tc>
                <w:tcPr>
                  <w:tcW w:w="540" w:type="dxa"/>
                  <w:tcBorders>
                    <w:top w:val="single" w:sz="6" w:space="0" w:color="auto"/>
                    <w:left w:val="single" w:sz="6" w:space="0" w:color="auto"/>
                    <w:bottom w:val="single" w:sz="6" w:space="0" w:color="auto"/>
                    <w:right w:val="single" w:sz="6" w:space="0" w:color="auto"/>
                  </w:tcBorders>
                </w:tcPr>
                <w:p w:rsidR="00A0521C" w:rsidRDefault="00A0521C">
                  <w:pPr>
                    <w:jc w:val="both"/>
                    <w:rPr>
                      <w:rFonts w:cs="Arial"/>
                      <w:b/>
                      <w:sz w:val="20"/>
                      <w:szCs w:val="20"/>
                      <w:lang w:eastAsia="en-US"/>
                    </w:rPr>
                  </w:pPr>
                </w:p>
              </w:tc>
              <w:tc>
                <w:tcPr>
                  <w:tcW w:w="1692" w:type="dxa"/>
                  <w:tcBorders>
                    <w:top w:val="single" w:sz="6" w:space="0" w:color="auto"/>
                    <w:left w:val="single" w:sz="6" w:space="0" w:color="auto"/>
                    <w:bottom w:val="single" w:sz="6" w:space="0" w:color="auto"/>
                    <w:right w:val="single" w:sz="6" w:space="0" w:color="auto"/>
                  </w:tcBorders>
                  <w:hideMark/>
                </w:tcPr>
                <w:p w:rsidR="00A0521C" w:rsidRDefault="00A0521C">
                  <w:pPr>
                    <w:jc w:val="center"/>
                    <w:rPr>
                      <w:rFonts w:cs="Arial"/>
                      <w:b/>
                      <w:sz w:val="20"/>
                      <w:szCs w:val="20"/>
                      <w:lang w:eastAsia="en-US"/>
                    </w:rPr>
                  </w:pPr>
                  <w:r>
                    <w:rPr>
                      <w:rFonts w:cs="Arial"/>
                      <w:b/>
                      <w:sz w:val="20"/>
                      <w:szCs w:val="20"/>
                    </w:rPr>
                    <w:t>Monday</w:t>
                  </w:r>
                </w:p>
              </w:tc>
              <w:tc>
                <w:tcPr>
                  <w:tcW w:w="1692" w:type="dxa"/>
                  <w:tcBorders>
                    <w:top w:val="single" w:sz="6" w:space="0" w:color="auto"/>
                    <w:left w:val="single" w:sz="6" w:space="0" w:color="auto"/>
                    <w:bottom w:val="single" w:sz="6" w:space="0" w:color="auto"/>
                    <w:right w:val="single" w:sz="6" w:space="0" w:color="auto"/>
                  </w:tcBorders>
                  <w:hideMark/>
                </w:tcPr>
                <w:p w:rsidR="00A0521C" w:rsidRDefault="00A0521C">
                  <w:pPr>
                    <w:jc w:val="center"/>
                    <w:rPr>
                      <w:rFonts w:cs="Arial"/>
                      <w:b/>
                      <w:sz w:val="20"/>
                      <w:szCs w:val="20"/>
                      <w:lang w:eastAsia="en-US"/>
                    </w:rPr>
                  </w:pPr>
                  <w:r>
                    <w:rPr>
                      <w:rFonts w:cs="Arial"/>
                      <w:b/>
                      <w:sz w:val="20"/>
                      <w:szCs w:val="20"/>
                    </w:rPr>
                    <w:t>Tuesday</w:t>
                  </w:r>
                </w:p>
              </w:tc>
              <w:tc>
                <w:tcPr>
                  <w:tcW w:w="1692" w:type="dxa"/>
                  <w:tcBorders>
                    <w:top w:val="single" w:sz="6" w:space="0" w:color="auto"/>
                    <w:left w:val="single" w:sz="6" w:space="0" w:color="auto"/>
                    <w:bottom w:val="single" w:sz="6" w:space="0" w:color="auto"/>
                    <w:right w:val="single" w:sz="6" w:space="0" w:color="auto"/>
                  </w:tcBorders>
                  <w:hideMark/>
                </w:tcPr>
                <w:p w:rsidR="00A0521C" w:rsidRDefault="00A0521C">
                  <w:pPr>
                    <w:jc w:val="center"/>
                    <w:rPr>
                      <w:rFonts w:cs="Arial"/>
                      <w:b/>
                      <w:sz w:val="20"/>
                      <w:szCs w:val="20"/>
                      <w:lang w:eastAsia="en-US"/>
                    </w:rPr>
                  </w:pPr>
                  <w:r>
                    <w:rPr>
                      <w:rFonts w:cs="Arial"/>
                      <w:b/>
                      <w:sz w:val="20"/>
                      <w:szCs w:val="20"/>
                    </w:rPr>
                    <w:t>Wednesday</w:t>
                  </w:r>
                </w:p>
              </w:tc>
              <w:tc>
                <w:tcPr>
                  <w:tcW w:w="1692" w:type="dxa"/>
                  <w:tcBorders>
                    <w:top w:val="single" w:sz="6" w:space="0" w:color="auto"/>
                    <w:left w:val="single" w:sz="6" w:space="0" w:color="auto"/>
                    <w:bottom w:val="single" w:sz="6" w:space="0" w:color="auto"/>
                    <w:right w:val="single" w:sz="6" w:space="0" w:color="auto"/>
                  </w:tcBorders>
                  <w:hideMark/>
                </w:tcPr>
                <w:p w:rsidR="00A0521C" w:rsidRDefault="00A0521C">
                  <w:pPr>
                    <w:jc w:val="center"/>
                    <w:rPr>
                      <w:rFonts w:cs="Arial"/>
                      <w:b/>
                      <w:sz w:val="20"/>
                      <w:szCs w:val="20"/>
                      <w:lang w:eastAsia="en-US"/>
                    </w:rPr>
                  </w:pPr>
                  <w:r>
                    <w:rPr>
                      <w:rFonts w:cs="Arial"/>
                      <w:b/>
                      <w:sz w:val="20"/>
                      <w:szCs w:val="20"/>
                    </w:rPr>
                    <w:t>Thursday</w:t>
                  </w:r>
                </w:p>
              </w:tc>
              <w:tc>
                <w:tcPr>
                  <w:tcW w:w="1692" w:type="dxa"/>
                  <w:tcBorders>
                    <w:top w:val="single" w:sz="6" w:space="0" w:color="auto"/>
                    <w:left w:val="single" w:sz="6" w:space="0" w:color="auto"/>
                    <w:bottom w:val="single" w:sz="6" w:space="0" w:color="auto"/>
                    <w:right w:val="single" w:sz="6" w:space="0" w:color="auto"/>
                  </w:tcBorders>
                  <w:hideMark/>
                </w:tcPr>
                <w:p w:rsidR="00A0521C" w:rsidRDefault="00A0521C">
                  <w:pPr>
                    <w:jc w:val="center"/>
                    <w:rPr>
                      <w:rFonts w:cs="Arial"/>
                      <w:b/>
                      <w:sz w:val="20"/>
                      <w:szCs w:val="20"/>
                      <w:lang w:eastAsia="en-US"/>
                    </w:rPr>
                  </w:pPr>
                  <w:r>
                    <w:rPr>
                      <w:rFonts w:cs="Arial"/>
                      <w:b/>
                      <w:sz w:val="20"/>
                      <w:szCs w:val="20"/>
                    </w:rPr>
                    <w:t>Friday</w:t>
                  </w:r>
                </w:p>
              </w:tc>
            </w:tr>
            <w:tr w:rsidR="00A0521C">
              <w:trPr>
                <w:trHeight w:hRule="exact" w:val="1701"/>
              </w:trPr>
              <w:tc>
                <w:tcPr>
                  <w:tcW w:w="540" w:type="dxa"/>
                  <w:tcBorders>
                    <w:top w:val="single" w:sz="6" w:space="0" w:color="auto"/>
                    <w:left w:val="single" w:sz="6" w:space="0" w:color="auto"/>
                    <w:bottom w:val="single" w:sz="6" w:space="0" w:color="auto"/>
                    <w:right w:val="single" w:sz="6" w:space="0" w:color="auto"/>
                  </w:tcBorders>
                  <w:hideMark/>
                </w:tcPr>
                <w:p w:rsidR="00A0521C" w:rsidRDefault="00A0521C">
                  <w:pPr>
                    <w:rPr>
                      <w:rFonts w:cs="Arial"/>
                      <w:sz w:val="20"/>
                      <w:szCs w:val="20"/>
                      <w:lang w:eastAsia="en-US"/>
                    </w:rPr>
                  </w:pPr>
                  <w:r>
                    <w:rPr>
                      <w:rFonts w:cs="Arial"/>
                      <w:sz w:val="20"/>
                      <w:szCs w:val="20"/>
                    </w:rPr>
                    <w:t>am</w:t>
                  </w:r>
                </w:p>
              </w:tc>
              <w:tc>
                <w:tcPr>
                  <w:tcW w:w="1692" w:type="dxa"/>
                  <w:tcBorders>
                    <w:top w:val="single" w:sz="6" w:space="0" w:color="auto"/>
                    <w:left w:val="single" w:sz="6" w:space="0" w:color="auto"/>
                    <w:bottom w:val="single" w:sz="6" w:space="0" w:color="auto"/>
                    <w:right w:val="single" w:sz="6" w:space="0" w:color="auto"/>
                  </w:tcBorders>
                </w:tcPr>
                <w:p w:rsidR="00A0521C" w:rsidRDefault="00A0521C">
                  <w:pPr>
                    <w:rPr>
                      <w:rFonts w:cs="Arial"/>
                      <w:sz w:val="20"/>
                      <w:szCs w:val="20"/>
                      <w:lang w:eastAsia="en-US"/>
                    </w:rPr>
                  </w:pPr>
                  <w:r>
                    <w:rPr>
                      <w:rFonts w:cs="Arial"/>
                      <w:sz w:val="20"/>
                      <w:szCs w:val="20"/>
                    </w:rPr>
                    <w:t>Ward Round</w:t>
                  </w:r>
                </w:p>
                <w:p w:rsidR="00A0521C" w:rsidRDefault="00A0521C">
                  <w:pPr>
                    <w:rPr>
                      <w:rFonts w:cs="Arial"/>
                      <w:sz w:val="20"/>
                      <w:szCs w:val="20"/>
                    </w:rPr>
                  </w:pPr>
                  <w:r>
                    <w:rPr>
                      <w:rFonts w:cs="Arial"/>
                      <w:sz w:val="20"/>
                      <w:szCs w:val="20"/>
                    </w:rPr>
                    <w:t>Assessment Unit</w:t>
                  </w:r>
                </w:p>
                <w:p w:rsidR="00A0521C" w:rsidRDefault="00A0521C">
                  <w:pPr>
                    <w:rPr>
                      <w:rFonts w:cs="Arial"/>
                      <w:sz w:val="20"/>
                      <w:szCs w:val="20"/>
                    </w:rPr>
                  </w:pPr>
                </w:p>
                <w:p w:rsidR="00A0521C" w:rsidRDefault="00A0521C">
                  <w:pPr>
                    <w:rPr>
                      <w:rFonts w:cs="Arial"/>
                      <w:sz w:val="20"/>
                      <w:szCs w:val="20"/>
                    </w:rPr>
                  </w:pPr>
                  <w:r>
                    <w:rPr>
                      <w:rFonts w:cs="Arial"/>
                      <w:sz w:val="20"/>
                      <w:szCs w:val="20"/>
                    </w:rPr>
                    <w:t>New detox Assessment</w:t>
                  </w:r>
                </w:p>
                <w:p w:rsidR="00A0521C" w:rsidRDefault="00A0521C">
                  <w:pPr>
                    <w:rPr>
                      <w:rFonts w:cs="Arial"/>
                      <w:sz w:val="20"/>
                      <w:szCs w:val="20"/>
                      <w:lang w:eastAsia="en-US"/>
                    </w:rPr>
                  </w:pPr>
                </w:p>
              </w:tc>
              <w:tc>
                <w:tcPr>
                  <w:tcW w:w="1692" w:type="dxa"/>
                  <w:tcBorders>
                    <w:top w:val="single" w:sz="6" w:space="0" w:color="auto"/>
                    <w:left w:val="single" w:sz="6" w:space="0" w:color="auto"/>
                    <w:bottom w:val="single" w:sz="6" w:space="0" w:color="auto"/>
                    <w:right w:val="single" w:sz="6" w:space="0" w:color="auto"/>
                  </w:tcBorders>
                  <w:hideMark/>
                </w:tcPr>
                <w:p w:rsidR="00A0521C" w:rsidRDefault="00A0521C">
                  <w:pPr>
                    <w:rPr>
                      <w:rFonts w:cs="Arial"/>
                      <w:sz w:val="20"/>
                      <w:szCs w:val="20"/>
                      <w:lang w:eastAsia="en-US"/>
                    </w:rPr>
                  </w:pPr>
                  <w:r>
                    <w:rPr>
                      <w:rFonts w:cs="Arial"/>
                      <w:sz w:val="20"/>
                      <w:szCs w:val="20"/>
                    </w:rPr>
                    <w:t>Ward Round</w:t>
                  </w:r>
                </w:p>
                <w:p w:rsidR="00A0521C" w:rsidRDefault="00A0521C">
                  <w:pPr>
                    <w:rPr>
                      <w:rFonts w:cs="Arial"/>
                      <w:sz w:val="20"/>
                      <w:szCs w:val="20"/>
                      <w:lang w:eastAsia="en-US"/>
                    </w:rPr>
                  </w:pPr>
                  <w:r>
                    <w:rPr>
                      <w:rFonts w:cs="Arial"/>
                      <w:sz w:val="20"/>
                      <w:szCs w:val="20"/>
                    </w:rPr>
                    <w:t>Assessment Unit &amp; Detox</w:t>
                  </w:r>
                </w:p>
              </w:tc>
              <w:tc>
                <w:tcPr>
                  <w:tcW w:w="1692" w:type="dxa"/>
                  <w:tcBorders>
                    <w:top w:val="single" w:sz="6" w:space="0" w:color="auto"/>
                    <w:left w:val="single" w:sz="6" w:space="0" w:color="auto"/>
                    <w:bottom w:val="single" w:sz="6" w:space="0" w:color="auto"/>
                    <w:right w:val="single" w:sz="6" w:space="0" w:color="auto"/>
                  </w:tcBorders>
                </w:tcPr>
                <w:p w:rsidR="00A0521C" w:rsidRDefault="00A0521C">
                  <w:pPr>
                    <w:rPr>
                      <w:rFonts w:cs="Arial"/>
                      <w:sz w:val="20"/>
                      <w:szCs w:val="20"/>
                      <w:lang w:eastAsia="en-US"/>
                    </w:rPr>
                  </w:pPr>
                  <w:r>
                    <w:rPr>
                      <w:rFonts w:cs="Arial"/>
                      <w:sz w:val="20"/>
                      <w:szCs w:val="20"/>
                    </w:rPr>
                    <w:t>Ward Round</w:t>
                  </w:r>
                </w:p>
                <w:p w:rsidR="00A0521C" w:rsidRDefault="00A0521C">
                  <w:pPr>
                    <w:rPr>
                      <w:rFonts w:cs="Arial"/>
                      <w:sz w:val="20"/>
                      <w:szCs w:val="20"/>
                    </w:rPr>
                  </w:pPr>
                  <w:r>
                    <w:rPr>
                      <w:rFonts w:cs="Arial"/>
                      <w:sz w:val="20"/>
                      <w:szCs w:val="20"/>
                    </w:rPr>
                    <w:t>Assessment Unit</w:t>
                  </w:r>
                </w:p>
                <w:p w:rsidR="00A0521C" w:rsidRDefault="00A0521C">
                  <w:pPr>
                    <w:rPr>
                      <w:rFonts w:cs="Arial"/>
                      <w:sz w:val="20"/>
                      <w:szCs w:val="20"/>
                      <w:lang w:eastAsia="en-US"/>
                    </w:rPr>
                  </w:pPr>
                </w:p>
              </w:tc>
              <w:tc>
                <w:tcPr>
                  <w:tcW w:w="1692" w:type="dxa"/>
                  <w:tcBorders>
                    <w:top w:val="single" w:sz="6" w:space="0" w:color="auto"/>
                    <w:left w:val="single" w:sz="6" w:space="0" w:color="auto"/>
                    <w:bottom w:val="single" w:sz="6" w:space="0" w:color="auto"/>
                    <w:right w:val="single" w:sz="6" w:space="0" w:color="auto"/>
                  </w:tcBorders>
                  <w:hideMark/>
                </w:tcPr>
                <w:p w:rsidR="00A0521C" w:rsidRDefault="00A0521C">
                  <w:pPr>
                    <w:rPr>
                      <w:rFonts w:cs="Arial"/>
                      <w:sz w:val="20"/>
                      <w:szCs w:val="20"/>
                      <w:lang w:eastAsia="en-US"/>
                    </w:rPr>
                  </w:pPr>
                  <w:r>
                    <w:rPr>
                      <w:rFonts w:cs="Arial"/>
                      <w:sz w:val="20"/>
                      <w:szCs w:val="20"/>
                    </w:rPr>
                    <w:t>Ward Round</w:t>
                  </w:r>
                </w:p>
                <w:p w:rsidR="00A0521C" w:rsidRDefault="00A0521C">
                  <w:pPr>
                    <w:rPr>
                      <w:rFonts w:cs="Arial"/>
                      <w:sz w:val="20"/>
                      <w:szCs w:val="20"/>
                      <w:lang w:eastAsia="en-US"/>
                    </w:rPr>
                  </w:pPr>
                  <w:r>
                    <w:rPr>
                      <w:rFonts w:cs="Arial"/>
                      <w:sz w:val="20"/>
                      <w:szCs w:val="20"/>
                    </w:rPr>
                    <w:t>Assessment Unit</w:t>
                  </w:r>
                </w:p>
              </w:tc>
              <w:tc>
                <w:tcPr>
                  <w:tcW w:w="1692" w:type="dxa"/>
                  <w:tcBorders>
                    <w:top w:val="single" w:sz="6" w:space="0" w:color="auto"/>
                    <w:left w:val="single" w:sz="6" w:space="0" w:color="auto"/>
                    <w:bottom w:val="single" w:sz="6" w:space="0" w:color="auto"/>
                    <w:right w:val="single" w:sz="6" w:space="0" w:color="auto"/>
                  </w:tcBorders>
                </w:tcPr>
                <w:p w:rsidR="00A0521C" w:rsidRDefault="00A0521C">
                  <w:pPr>
                    <w:rPr>
                      <w:rFonts w:cs="Arial"/>
                      <w:sz w:val="20"/>
                      <w:szCs w:val="20"/>
                      <w:lang w:eastAsia="en-US"/>
                    </w:rPr>
                  </w:pPr>
                  <w:r>
                    <w:rPr>
                      <w:rFonts w:cs="Arial"/>
                      <w:sz w:val="20"/>
                      <w:szCs w:val="20"/>
                    </w:rPr>
                    <w:t>PICU handover</w:t>
                  </w:r>
                </w:p>
                <w:p w:rsidR="00A0521C" w:rsidRDefault="00A0521C">
                  <w:pPr>
                    <w:rPr>
                      <w:rFonts w:cs="Arial"/>
                      <w:sz w:val="20"/>
                      <w:szCs w:val="20"/>
                    </w:rPr>
                  </w:pPr>
                </w:p>
                <w:p w:rsidR="00A0521C" w:rsidRDefault="00A0521C">
                  <w:pPr>
                    <w:rPr>
                      <w:rFonts w:cs="Arial"/>
                      <w:sz w:val="20"/>
                      <w:szCs w:val="20"/>
                    </w:rPr>
                  </w:pPr>
                  <w:r>
                    <w:rPr>
                      <w:rFonts w:cs="Arial"/>
                      <w:sz w:val="20"/>
                      <w:szCs w:val="20"/>
                    </w:rPr>
                    <w:t>Ward Round</w:t>
                  </w:r>
                </w:p>
                <w:p w:rsidR="00A0521C" w:rsidRDefault="00A0521C">
                  <w:pPr>
                    <w:rPr>
                      <w:rFonts w:cs="Arial"/>
                      <w:sz w:val="20"/>
                      <w:szCs w:val="20"/>
                      <w:lang w:eastAsia="en-US"/>
                    </w:rPr>
                  </w:pPr>
                  <w:r>
                    <w:rPr>
                      <w:rFonts w:cs="Arial"/>
                      <w:sz w:val="20"/>
                      <w:szCs w:val="20"/>
                    </w:rPr>
                    <w:t>Assessment Unit</w:t>
                  </w:r>
                </w:p>
              </w:tc>
            </w:tr>
            <w:tr w:rsidR="00A0521C">
              <w:trPr>
                <w:trHeight w:hRule="exact" w:val="1701"/>
              </w:trPr>
              <w:tc>
                <w:tcPr>
                  <w:tcW w:w="540" w:type="dxa"/>
                  <w:tcBorders>
                    <w:top w:val="single" w:sz="6" w:space="0" w:color="auto"/>
                    <w:left w:val="single" w:sz="6" w:space="0" w:color="auto"/>
                    <w:bottom w:val="single" w:sz="6" w:space="0" w:color="auto"/>
                    <w:right w:val="single" w:sz="6" w:space="0" w:color="auto"/>
                  </w:tcBorders>
                  <w:hideMark/>
                </w:tcPr>
                <w:p w:rsidR="00A0521C" w:rsidRDefault="00A0521C">
                  <w:pPr>
                    <w:rPr>
                      <w:rFonts w:cs="Arial"/>
                      <w:sz w:val="20"/>
                      <w:szCs w:val="20"/>
                      <w:lang w:eastAsia="en-US"/>
                    </w:rPr>
                  </w:pPr>
                  <w:r>
                    <w:rPr>
                      <w:rFonts w:cs="Arial"/>
                      <w:sz w:val="20"/>
                      <w:szCs w:val="20"/>
                    </w:rPr>
                    <w:t>pm</w:t>
                  </w:r>
                </w:p>
              </w:tc>
              <w:tc>
                <w:tcPr>
                  <w:tcW w:w="1692" w:type="dxa"/>
                  <w:tcBorders>
                    <w:top w:val="single" w:sz="6" w:space="0" w:color="auto"/>
                    <w:left w:val="single" w:sz="6" w:space="0" w:color="auto"/>
                    <w:bottom w:val="single" w:sz="6" w:space="0" w:color="auto"/>
                    <w:right w:val="single" w:sz="6" w:space="0" w:color="auto"/>
                  </w:tcBorders>
                </w:tcPr>
                <w:p w:rsidR="00A0521C" w:rsidRDefault="00A0521C">
                  <w:pPr>
                    <w:rPr>
                      <w:rFonts w:cs="Arial"/>
                      <w:sz w:val="20"/>
                      <w:szCs w:val="20"/>
                      <w:lang w:eastAsia="en-US"/>
                    </w:rPr>
                  </w:pPr>
                </w:p>
                <w:p w:rsidR="00A0521C" w:rsidRDefault="00A0521C">
                  <w:pPr>
                    <w:rPr>
                      <w:rFonts w:cs="Arial"/>
                      <w:sz w:val="20"/>
                      <w:szCs w:val="20"/>
                    </w:rPr>
                  </w:pPr>
                  <w:r>
                    <w:rPr>
                      <w:rFonts w:cs="Arial"/>
                      <w:sz w:val="20"/>
                      <w:szCs w:val="20"/>
                    </w:rPr>
                    <w:t>F2 teaching</w:t>
                  </w:r>
                </w:p>
                <w:p w:rsidR="00A0521C" w:rsidRDefault="00A0521C">
                  <w:pPr>
                    <w:rPr>
                      <w:rFonts w:cs="Arial"/>
                      <w:sz w:val="20"/>
                      <w:szCs w:val="20"/>
                      <w:lang w:eastAsia="en-US"/>
                    </w:rPr>
                  </w:pPr>
                  <w:r>
                    <w:rPr>
                      <w:rFonts w:cs="Arial"/>
                      <w:sz w:val="20"/>
                      <w:szCs w:val="20"/>
                    </w:rPr>
                    <w:t>Admin work</w:t>
                  </w:r>
                </w:p>
              </w:tc>
              <w:tc>
                <w:tcPr>
                  <w:tcW w:w="1692" w:type="dxa"/>
                  <w:tcBorders>
                    <w:top w:val="single" w:sz="6" w:space="0" w:color="auto"/>
                    <w:left w:val="single" w:sz="6" w:space="0" w:color="auto"/>
                    <w:bottom w:val="single" w:sz="6" w:space="0" w:color="auto"/>
                    <w:right w:val="single" w:sz="6" w:space="0" w:color="auto"/>
                  </w:tcBorders>
                  <w:hideMark/>
                </w:tcPr>
                <w:p w:rsidR="00A0521C" w:rsidRDefault="00A0521C">
                  <w:pPr>
                    <w:rPr>
                      <w:rFonts w:cs="Arial"/>
                      <w:sz w:val="20"/>
                      <w:szCs w:val="20"/>
                      <w:lang w:eastAsia="en-US"/>
                    </w:rPr>
                  </w:pPr>
                  <w:r>
                    <w:rPr>
                      <w:rFonts w:cs="Arial"/>
                      <w:sz w:val="20"/>
                      <w:szCs w:val="20"/>
                    </w:rPr>
                    <w:t>Admin work</w:t>
                  </w:r>
                </w:p>
              </w:tc>
              <w:tc>
                <w:tcPr>
                  <w:tcW w:w="1692" w:type="dxa"/>
                  <w:tcBorders>
                    <w:top w:val="single" w:sz="6" w:space="0" w:color="auto"/>
                    <w:left w:val="single" w:sz="6" w:space="0" w:color="auto"/>
                    <w:bottom w:val="single" w:sz="6" w:space="0" w:color="auto"/>
                    <w:right w:val="single" w:sz="6" w:space="0" w:color="auto"/>
                  </w:tcBorders>
                </w:tcPr>
                <w:p w:rsidR="00A0521C" w:rsidRDefault="00A0521C">
                  <w:pPr>
                    <w:rPr>
                      <w:rFonts w:cs="Arial"/>
                      <w:sz w:val="20"/>
                      <w:szCs w:val="20"/>
                      <w:lang w:eastAsia="en-US"/>
                    </w:rPr>
                  </w:pPr>
                  <w:r>
                    <w:rPr>
                      <w:rFonts w:cs="Arial"/>
                      <w:sz w:val="20"/>
                      <w:szCs w:val="20"/>
                    </w:rPr>
                    <w:t>F2 teaching</w:t>
                  </w:r>
                </w:p>
                <w:p w:rsidR="00A0521C" w:rsidRDefault="00A0521C">
                  <w:pPr>
                    <w:rPr>
                      <w:rFonts w:cs="Arial"/>
                      <w:sz w:val="20"/>
                      <w:szCs w:val="20"/>
                    </w:rPr>
                  </w:pPr>
                </w:p>
                <w:p w:rsidR="00A0521C" w:rsidRDefault="00A0521C">
                  <w:pPr>
                    <w:rPr>
                      <w:rFonts w:cs="Arial"/>
                      <w:sz w:val="20"/>
                      <w:szCs w:val="20"/>
                    </w:rPr>
                  </w:pPr>
                  <w:r>
                    <w:rPr>
                      <w:rFonts w:cs="Arial"/>
                      <w:sz w:val="20"/>
                      <w:szCs w:val="20"/>
                    </w:rPr>
                    <w:t>Supervision</w:t>
                  </w:r>
                </w:p>
                <w:p w:rsidR="00A0521C" w:rsidRDefault="00A0521C">
                  <w:pPr>
                    <w:rPr>
                      <w:rFonts w:cs="Arial"/>
                      <w:sz w:val="20"/>
                      <w:szCs w:val="20"/>
                    </w:rPr>
                  </w:pPr>
                </w:p>
                <w:p w:rsidR="00A0521C" w:rsidRDefault="00A0521C">
                  <w:pPr>
                    <w:rPr>
                      <w:rFonts w:cs="Arial"/>
                      <w:sz w:val="20"/>
                      <w:szCs w:val="20"/>
                    </w:rPr>
                  </w:pPr>
                </w:p>
                <w:p w:rsidR="00A0521C" w:rsidRDefault="00A0521C">
                  <w:pPr>
                    <w:rPr>
                      <w:rFonts w:cs="Arial"/>
                      <w:sz w:val="20"/>
                      <w:szCs w:val="20"/>
                      <w:lang w:eastAsia="en-US"/>
                    </w:rPr>
                  </w:pPr>
                </w:p>
              </w:tc>
              <w:tc>
                <w:tcPr>
                  <w:tcW w:w="1692" w:type="dxa"/>
                  <w:tcBorders>
                    <w:top w:val="single" w:sz="6" w:space="0" w:color="auto"/>
                    <w:left w:val="single" w:sz="6" w:space="0" w:color="auto"/>
                    <w:bottom w:val="single" w:sz="6" w:space="0" w:color="auto"/>
                    <w:right w:val="single" w:sz="6" w:space="0" w:color="auto"/>
                  </w:tcBorders>
                  <w:hideMark/>
                </w:tcPr>
                <w:p w:rsidR="00A0521C" w:rsidRDefault="00A0521C">
                  <w:pPr>
                    <w:rPr>
                      <w:rFonts w:cs="Arial"/>
                      <w:sz w:val="20"/>
                      <w:szCs w:val="20"/>
                      <w:lang w:eastAsia="en-US"/>
                    </w:rPr>
                  </w:pPr>
                  <w:r>
                    <w:rPr>
                      <w:rFonts w:cs="Arial"/>
                      <w:sz w:val="20"/>
                      <w:szCs w:val="20"/>
                    </w:rPr>
                    <w:t>Outpatient Clinic for Discharged patients</w:t>
                  </w:r>
                </w:p>
              </w:tc>
              <w:tc>
                <w:tcPr>
                  <w:tcW w:w="1692" w:type="dxa"/>
                  <w:tcBorders>
                    <w:top w:val="single" w:sz="6" w:space="0" w:color="auto"/>
                    <w:left w:val="single" w:sz="6" w:space="0" w:color="auto"/>
                    <w:bottom w:val="single" w:sz="6" w:space="0" w:color="auto"/>
                    <w:right w:val="single" w:sz="6" w:space="0" w:color="auto"/>
                  </w:tcBorders>
                  <w:hideMark/>
                </w:tcPr>
                <w:p w:rsidR="00A0521C" w:rsidRDefault="00A0521C">
                  <w:pPr>
                    <w:rPr>
                      <w:rFonts w:cs="Arial"/>
                      <w:sz w:val="20"/>
                      <w:szCs w:val="20"/>
                      <w:lang w:eastAsia="en-US"/>
                    </w:rPr>
                  </w:pPr>
                  <w:r>
                    <w:rPr>
                      <w:rFonts w:cs="Arial"/>
                      <w:sz w:val="20"/>
                      <w:szCs w:val="20"/>
                    </w:rPr>
                    <w:t>Teaching</w:t>
                  </w:r>
                </w:p>
              </w:tc>
            </w:tr>
          </w:tbl>
          <w:p w:rsidR="00A0521C" w:rsidRDefault="00A0521C">
            <w:pPr>
              <w:rPr>
                <w:rFonts w:cs="Arial"/>
                <w:sz w:val="20"/>
                <w:szCs w:val="20"/>
                <w:lang w:eastAsia="en-US"/>
              </w:rPr>
            </w:pPr>
          </w:p>
          <w:p w:rsidR="00A0521C" w:rsidRDefault="00A0521C">
            <w:pPr>
              <w:rPr>
                <w:rFonts w:cs="Arial"/>
                <w:sz w:val="20"/>
                <w:szCs w:val="20"/>
              </w:rPr>
            </w:pPr>
          </w:p>
          <w:p w:rsidR="00A0521C" w:rsidRDefault="00A0521C">
            <w:pPr>
              <w:rPr>
                <w:rFonts w:cs="Arial"/>
                <w:sz w:val="20"/>
                <w:szCs w:val="20"/>
                <w:lang w:eastAsia="en-US"/>
              </w:rPr>
            </w:pPr>
            <w:r>
              <w:rPr>
                <w:rFonts w:cs="Arial"/>
                <w:i/>
                <w:sz w:val="20"/>
                <w:szCs w:val="20"/>
              </w:rPr>
              <w:t>On call requirements:</w:t>
            </w:r>
            <w:r>
              <w:rPr>
                <w:rFonts w:cs="Arial"/>
                <w:sz w:val="20"/>
                <w:szCs w:val="20"/>
              </w:rPr>
              <w:t xml:space="preserve">  </w:t>
            </w:r>
          </w:p>
        </w:tc>
      </w:tr>
      <w:tr w:rsidR="00A0521C" w:rsidTr="00A0521C">
        <w:trPr>
          <w:trHeight w:val="144"/>
        </w:trPr>
        <w:tc>
          <w:tcPr>
            <w:tcW w:w="3851" w:type="dxa"/>
            <w:tcBorders>
              <w:top w:val="single" w:sz="4" w:space="0" w:color="auto"/>
              <w:left w:val="single" w:sz="4" w:space="0" w:color="auto"/>
              <w:bottom w:val="single" w:sz="4" w:space="0" w:color="auto"/>
              <w:right w:val="single" w:sz="4" w:space="0" w:color="auto"/>
            </w:tcBorders>
            <w:hideMark/>
          </w:tcPr>
          <w:p w:rsidR="00A0521C" w:rsidRDefault="00A0521C">
            <w:pPr>
              <w:rPr>
                <w:rFonts w:cs="Arial"/>
                <w:b/>
                <w:lang w:eastAsia="en-US"/>
              </w:rPr>
            </w:pPr>
            <w:r>
              <w:rPr>
                <w:rFonts w:cs="Arial"/>
                <w:b/>
                <w:sz w:val="22"/>
                <w:szCs w:val="22"/>
              </w:rPr>
              <w:t>Employer information</w:t>
            </w:r>
          </w:p>
        </w:tc>
        <w:tc>
          <w:tcPr>
            <w:tcW w:w="5257" w:type="dxa"/>
            <w:tcBorders>
              <w:top w:val="single" w:sz="4" w:space="0" w:color="auto"/>
              <w:left w:val="single" w:sz="4" w:space="0" w:color="auto"/>
              <w:bottom w:val="single" w:sz="4" w:space="0" w:color="auto"/>
              <w:right w:val="single" w:sz="4" w:space="0" w:color="auto"/>
            </w:tcBorders>
          </w:tcPr>
          <w:p w:rsidR="00A0521C" w:rsidRDefault="00A0521C">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A0521C" w:rsidRDefault="00A0521C">
            <w:pPr>
              <w:pStyle w:val="BodyText"/>
              <w:jc w:val="left"/>
              <w:rPr>
                <w:rFonts w:ascii="Arial" w:hAnsi="Arial" w:cs="Arial"/>
                <w:sz w:val="20"/>
              </w:rPr>
            </w:pPr>
          </w:p>
          <w:p w:rsidR="00A0521C" w:rsidRDefault="00A0521C">
            <w:pPr>
              <w:pStyle w:val="BodyText"/>
              <w:jc w:val="left"/>
              <w:rPr>
                <w:rFonts w:ascii="Arial" w:hAnsi="Arial" w:cs="Arial"/>
                <w:sz w:val="20"/>
              </w:rPr>
            </w:pPr>
            <w:r>
              <w:rPr>
                <w:rFonts w:ascii="Arial" w:hAnsi="Arial" w:cs="Arial"/>
                <w:sz w:val="20"/>
              </w:rPr>
              <w:t xml:space="preserve">The post will be based in Cavell Centre, Edith Cavell Campus, Bretton Gate, </w:t>
            </w:r>
            <w:proofErr w:type="gramStart"/>
            <w:r>
              <w:rPr>
                <w:rFonts w:ascii="Arial" w:hAnsi="Arial" w:cs="Arial"/>
                <w:sz w:val="20"/>
              </w:rPr>
              <w:t>Peterborough</w:t>
            </w:r>
            <w:proofErr w:type="gramEnd"/>
            <w:r>
              <w:rPr>
                <w:rFonts w:ascii="Arial" w:hAnsi="Arial" w:cs="Arial"/>
                <w:sz w:val="20"/>
              </w:rPr>
              <w:t>.</w:t>
            </w:r>
          </w:p>
          <w:p w:rsidR="00A0521C" w:rsidRDefault="00A0521C">
            <w:pPr>
              <w:pStyle w:val="BodyText"/>
              <w:jc w:val="left"/>
              <w:rPr>
                <w:rFonts w:ascii="Arial" w:hAnsi="Arial" w:cs="Arial"/>
                <w:sz w:val="20"/>
              </w:rPr>
            </w:pPr>
          </w:p>
          <w:p w:rsidR="00A0521C" w:rsidRDefault="00A0521C">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A0521C" w:rsidRDefault="00A0521C" w:rsidP="00A0521C">
      <w:pPr>
        <w:rPr>
          <w:rFonts w:cs="Arial"/>
          <w:sz w:val="22"/>
          <w:szCs w:val="22"/>
          <w:lang w:eastAsia="en-US"/>
        </w:rPr>
      </w:pPr>
    </w:p>
    <w:p w:rsidR="00A0521C" w:rsidRDefault="00A0521C" w:rsidP="00A0521C">
      <w:pPr>
        <w:rPr>
          <w:rFonts w:cs="Arial"/>
          <w:sz w:val="22"/>
          <w:szCs w:val="22"/>
        </w:rPr>
      </w:pPr>
      <w:r>
        <w:rPr>
          <w:rFonts w:cs="Arial"/>
          <w:sz w:val="22"/>
          <w:szCs w:val="22"/>
        </w:rPr>
        <w:t>It is important to note that this description is a typical example of your placement and may be subject to change.</w:t>
      </w:r>
    </w:p>
    <w:p w:rsidR="00A0521C" w:rsidRDefault="00A0521C" w:rsidP="00A0521C">
      <w:pPr>
        <w:rPr>
          <w:rFonts w:ascii="Cambria" w:hAnsi="Cambria"/>
        </w:rPr>
      </w:pPr>
    </w:p>
    <w:p w:rsidR="00DF21D4" w:rsidRPr="00A0521C" w:rsidRDefault="00DF21D4" w:rsidP="00A0521C"/>
    <w:sectPr w:rsidR="00DF21D4" w:rsidRPr="00A0521C"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A5EDF"/>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812C2"/>
    <w:rsid w:val="00897379"/>
    <w:rsid w:val="008C3E0E"/>
    <w:rsid w:val="008F2E22"/>
    <w:rsid w:val="00925F85"/>
    <w:rsid w:val="00967A91"/>
    <w:rsid w:val="009919DF"/>
    <w:rsid w:val="009E11BC"/>
    <w:rsid w:val="00A0521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2016-09-22T15:21:00Z</dcterms:created>
  <dcterms:modified xsi:type="dcterms:W3CDTF">2016-09-22T15:21:00Z</dcterms:modified>
</cp:coreProperties>
</file>