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57" w:rsidRDefault="003D4657" w:rsidP="003D4657">
      <w:pPr>
        <w:tabs>
          <w:tab w:val="center" w:pos="5040"/>
          <w:tab w:val="right" w:pos="9900"/>
        </w:tabs>
      </w:pPr>
      <w:r>
        <w:t xml:space="preserve"> </w:t>
      </w:r>
      <w:r>
        <w:tab/>
      </w:r>
      <w:r>
        <w:tab/>
      </w:r>
      <w:bookmarkStart w:id="0" w:name="_GoBack"/>
      <w:bookmarkEnd w:id="0"/>
    </w:p>
    <w:p w:rsidR="003D4657" w:rsidRDefault="003D4657" w:rsidP="003D4657">
      <w:pPr>
        <w:jc w:val="center"/>
        <w:rPr>
          <w:rFonts w:cs="Arial"/>
          <w:b/>
          <w:sz w:val="28"/>
          <w:szCs w:val="28"/>
        </w:rPr>
      </w:pPr>
    </w:p>
    <w:p w:rsidR="003D4657" w:rsidRDefault="003D4657" w:rsidP="003D4657">
      <w:pPr>
        <w:jc w:val="center"/>
        <w:rPr>
          <w:rFonts w:cs="Arial"/>
          <w:b/>
          <w:sz w:val="28"/>
          <w:szCs w:val="28"/>
        </w:rPr>
      </w:pPr>
      <w:r>
        <w:rPr>
          <w:rFonts w:cs="Arial"/>
          <w:b/>
          <w:sz w:val="28"/>
          <w:szCs w:val="28"/>
        </w:rPr>
        <w:t>East Anglia Foundation School</w:t>
      </w:r>
    </w:p>
    <w:p w:rsidR="003D4657" w:rsidRDefault="003D4657" w:rsidP="003D4657">
      <w:pPr>
        <w:jc w:val="center"/>
        <w:rPr>
          <w:rFonts w:cs="Arial"/>
          <w:b/>
          <w:sz w:val="28"/>
          <w:szCs w:val="28"/>
        </w:rPr>
      </w:pPr>
      <w:r>
        <w:rPr>
          <w:rFonts w:cs="Arial"/>
          <w:b/>
          <w:sz w:val="28"/>
          <w:szCs w:val="28"/>
        </w:rPr>
        <w:t xml:space="preserve">Individual Placement Description </w:t>
      </w:r>
    </w:p>
    <w:p w:rsidR="003D4657" w:rsidRDefault="003D4657" w:rsidP="003D4657">
      <w:pPr>
        <w:jc w:val="center"/>
        <w:rPr>
          <w:rFonts w:cs="Arial"/>
          <w:b/>
          <w:sz w:val="28"/>
          <w:szCs w:val="28"/>
        </w:rPr>
      </w:pPr>
    </w:p>
    <w:p w:rsidR="003D4657" w:rsidRDefault="003D4657" w:rsidP="003D4657">
      <w:pPr>
        <w:jc w:val="center"/>
        <w:rPr>
          <w:rFonts w:cs="Arial"/>
          <w:b/>
          <w:sz w:val="28"/>
          <w:szCs w:val="28"/>
        </w:rPr>
      </w:pPr>
      <w:r>
        <w:rPr>
          <w:rFonts w:cs="Arial"/>
          <w:b/>
          <w:sz w:val="28"/>
          <w:szCs w:val="28"/>
        </w:rPr>
        <w:t>Norfolk and Norwich University Hospital NHS Foundation Trust</w:t>
      </w:r>
    </w:p>
    <w:p w:rsidR="003D4657" w:rsidRDefault="003D4657" w:rsidP="003D4657">
      <w:pPr>
        <w:rPr>
          <w:rFonts w:cs="Arial"/>
          <w:b/>
          <w:sz w:val="22"/>
          <w:szCs w:val="22"/>
        </w:rPr>
      </w:pPr>
    </w:p>
    <w:p w:rsidR="003D4657" w:rsidRDefault="003D4657" w:rsidP="003D4657">
      <w:pPr>
        <w:rPr>
          <w:rFonts w:cs="Arial"/>
          <w:sz w:val="22"/>
          <w:szCs w:val="22"/>
        </w:rPr>
      </w:pPr>
      <w:proofErr w:type="gramStart"/>
      <w:r>
        <w:rPr>
          <w:rFonts w:cs="Arial"/>
          <w:sz w:val="22"/>
          <w:szCs w:val="22"/>
        </w:rPr>
        <w:t>All information to be completed by the Foundation School.</w:t>
      </w:r>
      <w:proofErr w:type="gramEnd"/>
    </w:p>
    <w:p w:rsidR="003D4657" w:rsidRDefault="003D4657" w:rsidP="003D4657">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3D4657" w:rsidTr="003D4657">
        <w:trPr>
          <w:trHeight w:val="144"/>
        </w:trPr>
        <w:tc>
          <w:tcPr>
            <w:tcW w:w="3420" w:type="dxa"/>
            <w:tcBorders>
              <w:top w:val="single" w:sz="4" w:space="0" w:color="auto"/>
              <w:left w:val="single" w:sz="4" w:space="0" w:color="auto"/>
              <w:bottom w:val="single" w:sz="4" w:space="0" w:color="auto"/>
              <w:right w:val="single" w:sz="4" w:space="0" w:color="auto"/>
            </w:tcBorders>
            <w:hideMark/>
          </w:tcPr>
          <w:p w:rsidR="003D4657" w:rsidRDefault="003D4657">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3D4657" w:rsidRDefault="003D4657">
            <w:pPr>
              <w:jc w:val="both"/>
              <w:rPr>
                <w:rFonts w:cs="Arial"/>
                <w:sz w:val="20"/>
                <w:szCs w:val="20"/>
                <w:lang w:val="en-US" w:eastAsia="en-US"/>
              </w:rPr>
            </w:pPr>
            <w:r>
              <w:rPr>
                <w:rFonts w:cs="Arial"/>
                <w:sz w:val="20"/>
                <w:szCs w:val="20"/>
              </w:rPr>
              <w:t xml:space="preserve">Foundation House Officer  </w:t>
            </w:r>
          </w:p>
          <w:p w:rsidR="003D4657" w:rsidRDefault="003D4657">
            <w:pPr>
              <w:ind w:left="540" w:hanging="540"/>
              <w:jc w:val="both"/>
              <w:rPr>
                <w:rFonts w:cs="Arial"/>
                <w:color w:val="000000"/>
                <w:sz w:val="20"/>
                <w:szCs w:val="20"/>
              </w:rPr>
            </w:pPr>
            <w:r>
              <w:rPr>
                <w:rFonts w:cs="Arial"/>
                <w:color w:val="000000"/>
                <w:sz w:val="20"/>
                <w:szCs w:val="20"/>
              </w:rPr>
              <w:t>Public Health</w:t>
            </w:r>
          </w:p>
          <w:p w:rsidR="003D4657" w:rsidRDefault="003D4657">
            <w:pPr>
              <w:ind w:left="2160" w:hanging="2160"/>
              <w:jc w:val="both"/>
              <w:rPr>
                <w:rFonts w:cs="Arial"/>
                <w:sz w:val="20"/>
                <w:szCs w:val="20"/>
                <w:lang w:val="en-US" w:eastAsia="en-US"/>
              </w:rPr>
            </w:pPr>
          </w:p>
        </w:tc>
      </w:tr>
      <w:tr w:rsidR="003D4657" w:rsidTr="003D4657">
        <w:trPr>
          <w:trHeight w:val="144"/>
        </w:trPr>
        <w:tc>
          <w:tcPr>
            <w:tcW w:w="3420" w:type="dxa"/>
            <w:tcBorders>
              <w:top w:val="single" w:sz="4" w:space="0" w:color="auto"/>
              <w:left w:val="single" w:sz="4" w:space="0" w:color="auto"/>
              <w:bottom w:val="single" w:sz="4" w:space="0" w:color="auto"/>
              <w:right w:val="single" w:sz="4" w:space="0" w:color="auto"/>
            </w:tcBorders>
            <w:hideMark/>
          </w:tcPr>
          <w:p w:rsidR="003D4657" w:rsidRDefault="003D4657">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3D4657" w:rsidRDefault="003D4657">
            <w:pPr>
              <w:pStyle w:val="BodyText"/>
              <w:rPr>
                <w:rFonts w:ascii="Arial" w:hAnsi="Arial" w:cs="Arial"/>
                <w:color w:val="000000"/>
                <w:sz w:val="20"/>
              </w:rPr>
            </w:pPr>
            <w:r>
              <w:rPr>
                <w:rFonts w:ascii="Arial" w:hAnsi="Arial" w:cs="Arial"/>
                <w:color w:val="000000"/>
                <w:sz w:val="20"/>
              </w:rPr>
              <w:t>The post is designed to contribute to the post holder’s progress in meeting the competencies in the F2 curriculum and will develop over time in line with National curriculum developments and the local programme.</w:t>
            </w:r>
          </w:p>
          <w:p w:rsidR="003D4657" w:rsidRDefault="003D4657">
            <w:pPr>
              <w:pStyle w:val="BodyText"/>
              <w:ind w:left="540"/>
              <w:rPr>
                <w:rFonts w:ascii="Arial" w:hAnsi="Arial" w:cs="Arial"/>
                <w:color w:val="000000"/>
                <w:sz w:val="20"/>
              </w:rPr>
            </w:pPr>
          </w:p>
          <w:p w:rsidR="003D4657" w:rsidRDefault="003D4657">
            <w:pPr>
              <w:pStyle w:val="BodyText"/>
              <w:rPr>
                <w:rFonts w:ascii="Arial" w:hAnsi="Arial" w:cs="Arial"/>
                <w:color w:val="000000"/>
                <w:sz w:val="20"/>
              </w:rPr>
            </w:pPr>
            <w:r>
              <w:rPr>
                <w:rFonts w:ascii="Arial" w:hAnsi="Arial" w:cs="Arial"/>
                <w:color w:val="000000"/>
                <w:sz w:val="20"/>
              </w:rPr>
              <w:t>This post will give an introduction to Public Health.  Skills to be developed are essential for the work of Public Health Consultants and are relevant to the work of General Practitioners and those from other disciplines intent on improving the health of the population they serve.</w:t>
            </w:r>
          </w:p>
          <w:p w:rsidR="003D4657" w:rsidRDefault="003D4657">
            <w:pPr>
              <w:ind w:left="540"/>
              <w:jc w:val="both"/>
              <w:rPr>
                <w:rFonts w:cs="Arial"/>
                <w:color w:val="000000"/>
                <w:sz w:val="20"/>
                <w:szCs w:val="20"/>
              </w:rPr>
            </w:pPr>
          </w:p>
          <w:p w:rsidR="003D4657" w:rsidRDefault="003D4657">
            <w:pPr>
              <w:jc w:val="both"/>
              <w:rPr>
                <w:rFonts w:cs="Arial"/>
                <w:color w:val="000000"/>
                <w:sz w:val="20"/>
                <w:szCs w:val="20"/>
              </w:rPr>
            </w:pPr>
            <w:r>
              <w:rPr>
                <w:rFonts w:cs="Arial"/>
                <w:color w:val="000000"/>
                <w:sz w:val="20"/>
                <w:szCs w:val="20"/>
              </w:rPr>
              <w:t xml:space="preserve">The F2 trainee will undertake both routine public health tasks as well as service-based projects during their post within the public health network.  Training will be overseen by the Training Location Co-ordinator (TLC), who will ensure attachments with others in the training location to provide a variety of exposures to public health practice.  The trainee will have a named Educational Supervisor (Consultant) in Public Health to whom he/she is accountable; day to day work will be overseen where possible by a Specialist Registrar or Trainee.  </w:t>
            </w:r>
          </w:p>
          <w:p w:rsidR="003D4657" w:rsidRDefault="003D4657">
            <w:pPr>
              <w:ind w:left="540"/>
              <w:jc w:val="both"/>
              <w:rPr>
                <w:rFonts w:cs="Arial"/>
                <w:color w:val="000000"/>
                <w:sz w:val="20"/>
                <w:szCs w:val="20"/>
              </w:rPr>
            </w:pPr>
          </w:p>
          <w:p w:rsidR="003D4657" w:rsidRDefault="003D4657">
            <w:pPr>
              <w:jc w:val="both"/>
              <w:rPr>
                <w:rFonts w:cs="Arial"/>
                <w:color w:val="000000"/>
                <w:sz w:val="20"/>
                <w:szCs w:val="20"/>
              </w:rPr>
            </w:pPr>
            <w:r>
              <w:rPr>
                <w:rFonts w:cs="Arial"/>
                <w:color w:val="000000"/>
                <w:sz w:val="20"/>
                <w:szCs w:val="20"/>
              </w:rPr>
              <w:t xml:space="preserve">The specific duties of each F2 trainee will be agreed with the Educational Supervisor at the start of the attachment.  There will be time set aside each week with the Educational Supervisor and/or senior trainees. </w:t>
            </w:r>
          </w:p>
          <w:p w:rsidR="003D4657" w:rsidRDefault="003D4657">
            <w:pPr>
              <w:jc w:val="both"/>
              <w:rPr>
                <w:rFonts w:cs="Arial"/>
                <w:sz w:val="20"/>
                <w:szCs w:val="20"/>
                <w:lang w:val="en-US" w:eastAsia="en-US"/>
              </w:rPr>
            </w:pPr>
          </w:p>
        </w:tc>
      </w:tr>
      <w:tr w:rsidR="003D4657" w:rsidTr="003D4657">
        <w:trPr>
          <w:trHeight w:val="144"/>
        </w:trPr>
        <w:tc>
          <w:tcPr>
            <w:tcW w:w="3420" w:type="dxa"/>
            <w:tcBorders>
              <w:top w:val="single" w:sz="4" w:space="0" w:color="auto"/>
              <w:left w:val="single" w:sz="4" w:space="0" w:color="auto"/>
              <w:bottom w:val="single" w:sz="4" w:space="0" w:color="auto"/>
              <w:right w:val="single" w:sz="4" w:space="0" w:color="auto"/>
            </w:tcBorders>
            <w:hideMark/>
          </w:tcPr>
          <w:p w:rsidR="003D4657" w:rsidRDefault="003D4657">
            <w:pPr>
              <w:rPr>
                <w:rFonts w:cs="Arial"/>
                <w:sz w:val="20"/>
                <w:szCs w:val="20"/>
                <w:lang w:val="en-US" w:eastAsia="en-US"/>
              </w:rPr>
            </w:pPr>
            <w:r>
              <w:rPr>
                <w:rFonts w:cs="Arial"/>
                <w:sz w:val="20"/>
                <w:szCs w:val="20"/>
              </w:rPr>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3D4657" w:rsidRDefault="003D4657">
            <w:pPr>
              <w:jc w:val="both"/>
              <w:rPr>
                <w:rFonts w:cs="Arial"/>
                <w:sz w:val="20"/>
                <w:szCs w:val="20"/>
                <w:lang w:val="en-US" w:eastAsia="en-US"/>
              </w:rPr>
            </w:pPr>
          </w:p>
          <w:p w:rsidR="003D4657" w:rsidRDefault="003D4657">
            <w:pPr>
              <w:jc w:val="both"/>
              <w:rPr>
                <w:rFonts w:cs="Arial"/>
                <w:sz w:val="20"/>
                <w:szCs w:val="20"/>
                <w:lang w:val="en-US" w:eastAsia="en-US"/>
              </w:rPr>
            </w:pPr>
          </w:p>
        </w:tc>
      </w:tr>
      <w:tr w:rsidR="003D4657" w:rsidTr="003D4657">
        <w:trPr>
          <w:trHeight w:val="144"/>
        </w:trPr>
        <w:tc>
          <w:tcPr>
            <w:tcW w:w="3420" w:type="dxa"/>
            <w:tcBorders>
              <w:top w:val="single" w:sz="4" w:space="0" w:color="auto"/>
              <w:left w:val="single" w:sz="4" w:space="0" w:color="auto"/>
              <w:bottom w:val="single" w:sz="4" w:space="0" w:color="auto"/>
              <w:right w:val="single" w:sz="4" w:space="0" w:color="auto"/>
            </w:tcBorders>
            <w:hideMark/>
          </w:tcPr>
          <w:p w:rsidR="003D4657" w:rsidRDefault="003D4657">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3D4657" w:rsidRDefault="003D4657">
            <w:pPr>
              <w:jc w:val="both"/>
              <w:rPr>
                <w:rFonts w:cs="Arial"/>
                <w:sz w:val="20"/>
                <w:szCs w:val="20"/>
                <w:lang w:val="en-US" w:eastAsia="en-US"/>
              </w:rPr>
            </w:pPr>
            <w:r>
              <w:rPr>
                <w:rFonts w:cs="Arial"/>
                <w:sz w:val="20"/>
                <w:szCs w:val="20"/>
              </w:rPr>
              <w:t>Norfolk and Norwich University Hospital</w:t>
            </w:r>
          </w:p>
          <w:p w:rsidR="003D4657" w:rsidRDefault="003D4657">
            <w:pPr>
              <w:jc w:val="both"/>
              <w:rPr>
                <w:rFonts w:cs="Arial"/>
                <w:sz w:val="20"/>
                <w:szCs w:val="20"/>
                <w:lang w:val="en-US" w:eastAsia="en-US"/>
              </w:rPr>
            </w:pPr>
          </w:p>
        </w:tc>
      </w:tr>
      <w:tr w:rsidR="003D4657" w:rsidTr="003D4657">
        <w:trPr>
          <w:trHeight w:val="144"/>
        </w:trPr>
        <w:tc>
          <w:tcPr>
            <w:tcW w:w="3420" w:type="dxa"/>
            <w:tcBorders>
              <w:top w:val="single" w:sz="4" w:space="0" w:color="auto"/>
              <w:left w:val="single" w:sz="4" w:space="0" w:color="auto"/>
              <w:bottom w:val="single" w:sz="4" w:space="0" w:color="auto"/>
              <w:right w:val="single" w:sz="4" w:space="0" w:color="auto"/>
            </w:tcBorders>
            <w:hideMark/>
          </w:tcPr>
          <w:p w:rsidR="003D4657" w:rsidRDefault="003D4657">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3D4657" w:rsidRDefault="003D4657">
            <w:pPr>
              <w:jc w:val="both"/>
              <w:rPr>
                <w:rFonts w:cs="Arial"/>
                <w:sz w:val="20"/>
                <w:szCs w:val="20"/>
                <w:lang w:val="en-US" w:eastAsia="en-US"/>
              </w:rPr>
            </w:pPr>
            <w:r>
              <w:rPr>
                <w:rFonts w:cs="Arial"/>
                <w:sz w:val="20"/>
                <w:szCs w:val="20"/>
              </w:rPr>
              <w:t>(If information available at this time)</w:t>
            </w:r>
          </w:p>
          <w:p w:rsidR="003D4657" w:rsidRDefault="003D4657">
            <w:pPr>
              <w:jc w:val="both"/>
              <w:rPr>
                <w:rFonts w:cs="Arial"/>
                <w:sz w:val="20"/>
                <w:szCs w:val="20"/>
                <w:lang w:val="en-US" w:eastAsia="en-US"/>
              </w:rPr>
            </w:pPr>
          </w:p>
        </w:tc>
      </w:tr>
      <w:tr w:rsidR="003D4657" w:rsidTr="003D4657">
        <w:trPr>
          <w:trHeight w:val="144"/>
        </w:trPr>
        <w:tc>
          <w:tcPr>
            <w:tcW w:w="3420" w:type="dxa"/>
            <w:tcBorders>
              <w:top w:val="single" w:sz="4" w:space="0" w:color="auto"/>
              <w:left w:val="single" w:sz="4" w:space="0" w:color="auto"/>
              <w:bottom w:val="single" w:sz="4" w:space="0" w:color="auto"/>
              <w:right w:val="single" w:sz="4" w:space="0" w:color="auto"/>
            </w:tcBorders>
            <w:hideMark/>
          </w:tcPr>
          <w:p w:rsidR="003D4657" w:rsidRDefault="003D4657">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3D4657" w:rsidRDefault="003D4657">
            <w:pPr>
              <w:jc w:val="both"/>
              <w:rPr>
                <w:rFonts w:cs="Arial"/>
                <w:sz w:val="20"/>
                <w:szCs w:val="20"/>
                <w:lang w:val="en-US" w:eastAsia="en-US"/>
              </w:rPr>
            </w:pPr>
            <w:r>
              <w:rPr>
                <w:rFonts w:cs="Arial"/>
                <w:sz w:val="20"/>
                <w:szCs w:val="20"/>
              </w:rPr>
              <w:t>Clinical (for hospital posts):</w:t>
            </w:r>
          </w:p>
          <w:p w:rsidR="003D4657" w:rsidRDefault="003D4657">
            <w:pPr>
              <w:jc w:val="both"/>
              <w:rPr>
                <w:rFonts w:cs="Arial"/>
                <w:sz w:val="20"/>
                <w:szCs w:val="20"/>
              </w:rPr>
            </w:pPr>
            <w:r>
              <w:rPr>
                <w:rFonts w:cs="Arial"/>
                <w:sz w:val="20"/>
                <w:szCs w:val="20"/>
              </w:rPr>
              <w:t xml:space="preserve">The admission and treatment of emergency admissions for your speciality </w:t>
            </w:r>
          </w:p>
          <w:p w:rsidR="003D4657" w:rsidRDefault="003D4657">
            <w:pPr>
              <w:jc w:val="both"/>
              <w:rPr>
                <w:rFonts w:cs="Arial"/>
                <w:sz w:val="20"/>
                <w:szCs w:val="20"/>
              </w:rPr>
            </w:pPr>
            <w:r>
              <w:rPr>
                <w:rFonts w:cs="Arial"/>
                <w:sz w:val="20"/>
                <w:szCs w:val="20"/>
              </w:rPr>
              <w:t>Clerking (i.e. full history and examination) and day to day management of the inpatients for whom you are responsible.</w:t>
            </w:r>
          </w:p>
          <w:p w:rsidR="003D4657" w:rsidRDefault="003D4657">
            <w:pPr>
              <w:jc w:val="both"/>
              <w:rPr>
                <w:rFonts w:cs="Arial"/>
                <w:sz w:val="20"/>
                <w:szCs w:val="20"/>
              </w:rPr>
            </w:pPr>
            <w:r>
              <w:rPr>
                <w:rFonts w:cs="Arial"/>
                <w:sz w:val="20"/>
                <w:szCs w:val="20"/>
              </w:rPr>
              <w:t>Arrangement of investigations such as blood tests, X-rays and ECGs</w:t>
            </w:r>
          </w:p>
          <w:p w:rsidR="003D4657" w:rsidRDefault="003D4657">
            <w:pPr>
              <w:jc w:val="both"/>
              <w:rPr>
                <w:rFonts w:cs="Arial"/>
                <w:sz w:val="20"/>
                <w:szCs w:val="20"/>
              </w:rPr>
            </w:pPr>
            <w:r>
              <w:rPr>
                <w:rFonts w:cs="Arial"/>
                <w:sz w:val="20"/>
                <w:szCs w:val="20"/>
              </w:rPr>
              <w:t xml:space="preserve">Investigation and management of tertiary referral patients under the care of the department. </w:t>
            </w:r>
          </w:p>
          <w:p w:rsidR="003D4657" w:rsidRDefault="003D4657">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3D4657" w:rsidRDefault="003D4657">
            <w:pPr>
              <w:jc w:val="both"/>
              <w:rPr>
                <w:rFonts w:cs="Arial"/>
                <w:sz w:val="20"/>
                <w:szCs w:val="20"/>
              </w:rPr>
            </w:pPr>
            <w:r>
              <w:rPr>
                <w:rFonts w:cs="Arial"/>
                <w:sz w:val="20"/>
                <w:szCs w:val="20"/>
              </w:rPr>
              <w:lastRenderedPageBreak/>
              <w:t>Documentation of patients’ progress in the hospital notes.</w:t>
            </w:r>
          </w:p>
          <w:p w:rsidR="003D4657" w:rsidRDefault="003D4657">
            <w:pPr>
              <w:jc w:val="both"/>
              <w:rPr>
                <w:rFonts w:cs="Arial"/>
                <w:sz w:val="20"/>
                <w:szCs w:val="20"/>
              </w:rPr>
            </w:pPr>
            <w:r>
              <w:rPr>
                <w:rFonts w:cs="Arial"/>
                <w:sz w:val="20"/>
                <w:szCs w:val="20"/>
              </w:rPr>
              <w:t>Obtaining consent for procedures subject to Consent Policy</w:t>
            </w:r>
          </w:p>
          <w:p w:rsidR="003D4657" w:rsidRDefault="003D4657">
            <w:pPr>
              <w:jc w:val="both"/>
              <w:rPr>
                <w:rFonts w:cs="Arial"/>
                <w:sz w:val="20"/>
                <w:szCs w:val="20"/>
              </w:rPr>
            </w:pPr>
            <w:r>
              <w:rPr>
                <w:rFonts w:cs="Arial"/>
                <w:sz w:val="20"/>
                <w:szCs w:val="20"/>
              </w:rPr>
              <w:t>Carrying cardiac arrest bleep and acting as member of resuscitation team (for medical posts)</w:t>
            </w:r>
          </w:p>
          <w:p w:rsidR="003D4657" w:rsidRDefault="003D4657">
            <w:pPr>
              <w:jc w:val="both"/>
              <w:rPr>
                <w:rFonts w:cs="Arial"/>
                <w:sz w:val="20"/>
                <w:szCs w:val="20"/>
              </w:rPr>
            </w:pPr>
            <w:r>
              <w:rPr>
                <w:rFonts w:cs="Arial"/>
                <w:sz w:val="20"/>
                <w:szCs w:val="20"/>
              </w:rPr>
              <w:t>Preparing patients for surgery, preparing theatre lists and assisting with procedures in theatre (for surgical posts)</w:t>
            </w:r>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Communication:</w:t>
            </w:r>
          </w:p>
          <w:p w:rsidR="003D4657" w:rsidRDefault="003D4657">
            <w:pPr>
              <w:jc w:val="both"/>
              <w:rPr>
                <w:rFonts w:cs="Arial"/>
                <w:sz w:val="20"/>
                <w:szCs w:val="20"/>
              </w:rPr>
            </w:pPr>
            <w:r>
              <w:rPr>
                <w:rFonts w:cs="Arial"/>
                <w:sz w:val="20"/>
                <w:szCs w:val="20"/>
              </w:rPr>
              <w:t>Close liaison with other members of the team and your Consultant(s)/GP educational supervisors concerning the care of your patients</w:t>
            </w:r>
          </w:p>
          <w:p w:rsidR="003D4657" w:rsidRDefault="003D4657">
            <w:pPr>
              <w:jc w:val="both"/>
              <w:rPr>
                <w:rFonts w:cs="Arial"/>
                <w:sz w:val="20"/>
                <w:szCs w:val="20"/>
              </w:rPr>
            </w:pPr>
            <w:r>
              <w:rPr>
                <w:rFonts w:cs="Arial"/>
                <w:sz w:val="20"/>
                <w:szCs w:val="20"/>
              </w:rPr>
              <w:t>Communication with patients, relatives, nurses, GPs and other colleagues.</w:t>
            </w:r>
          </w:p>
          <w:p w:rsidR="003D4657" w:rsidRDefault="003D4657">
            <w:pPr>
              <w:jc w:val="both"/>
              <w:rPr>
                <w:rFonts w:cs="Arial"/>
                <w:sz w:val="20"/>
                <w:szCs w:val="20"/>
              </w:rPr>
            </w:pPr>
            <w:r>
              <w:rPr>
                <w:rFonts w:cs="Arial"/>
                <w:sz w:val="20"/>
                <w:szCs w:val="20"/>
              </w:rPr>
              <w:t>Handover of patient information between shifts (hospital posts)</w:t>
            </w:r>
          </w:p>
          <w:p w:rsidR="003D4657" w:rsidRDefault="003D4657">
            <w:pPr>
              <w:jc w:val="both"/>
              <w:rPr>
                <w:rFonts w:cs="Arial"/>
                <w:sz w:val="20"/>
                <w:szCs w:val="20"/>
              </w:rPr>
            </w:pPr>
            <w:r>
              <w:rPr>
                <w:rFonts w:cs="Arial"/>
                <w:sz w:val="20"/>
                <w:szCs w:val="20"/>
              </w:rPr>
              <w:t>Referral of patients to other teams (hospital posts)</w:t>
            </w:r>
          </w:p>
          <w:p w:rsidR="003D4657" w:rsidRDefault="003D4657">
            <w:pPr>
              <w:jc w:val="both"/>
              <w:rPr>
                <w:rFonts w:cs="Arial"/>
                <w:sz w:val="20"/>
                <w:szCs w:val="20"/>
              </w:rPr>
            </w:pPr>
            <w:r>
              <w:rPr>
                <w:rFonts w:cs="Arial"/>
                <w:sz w:val="20"/>
                <w:szCs w:val="20"/>
              </w:rPr>
              <w:t xml:space="preserve">Discharge notification (hospital posts) </w:t>
            </w:r>
          </w:p>
          <w:p w:rsidR="003D4657" w:rsidRDefault="003D4657">
            <w:pPr>
              <w:jc w:val="both"/>
              <w:rPr>
                <w:rFonts w:cs="Arial"/>
                <w:sz w:val="20"/>
                <w:szCs w:val="20"/>
              </w:rPr>
            </w:pPr>
            <w:r>
              <w:rPr>
                <w:rFonts w:cs="Arial"/>
                <w:sz w:val="20"/>
                <w:szCs w:val="20"/>
              </w:rPr>
              <w:t>Death notification.</w:t>
            </w:r>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Education/Audit/Governance:</w:t>
            </w:r>
          </w:p>
          <w:p w:rsidR="003D4657" w:rsidRDefault="003D4657">
            <w:pPr>
              <w:jc w:val="both"/>
              <w:rPr>
                <w:rFonts w:cs="Arial"/>
                <w:sz w:val="20"/>
                <w:szCs w:val="20"/>
              </w:rPr>
            </w:pPr>
            <w:r>
              <w:rPr>
                <w:rFonts w:cs="Arial"/>
                <w:sz w:val="20"/>
                <w:szCs w:val="20"/>
              </w:rPr>
              <w:t>Attendance at departmental/surgery meetings and educational seminars</w:t>
            </w:r>
          </w:p>
          <w:p w:rsidR="003D4657" w:rsidRDefault="003D4657">
            <w:pPr>
              <w:jc w:val="both"/>
              <w:rPr>
                <w:rFonts w:cs="Arial"/>
                <w:sz w:val="20"/>
                <w:szCs w:val="20"/>
              </w:rPr>
            </w:pPr>
            <w:r>
              <w:rPr>
                <w:rFonts w:cs="Arial"/>
                <w:sz w:val="20"/>
                <w:szCs w:val="20"/>
              </w:rPr>
              <w:t xml:space="preserve">Supervision of medical students.  </w:t>
            </w:r>
          </w:p>
          <w:p w:rsidR="003D4657" w:rsidRDefault="003D4657">
            <w:pPr>
              <w:jc w:val="both"/>
              <w:rPr>
                <w:rFonts w:cs="Arial"/>
                <w:sz w:val="20"/>
                <w:szCs w:val="20"/>
              </w:rPr>
            </w:pPr>
            <w:r>
              <w:rPr>
                <w:rFonts w:cs="Arial"/>
                <w:sz w:val="20"/>
                <w:szCs w:val="20"/>
              </w:rPr>
              <w:t xml:space="preserve">Participation in audit programmes and contributing to the research activities of the department / surgery where possible. </w:t>
            </w:r>
          </w:p>
          <w:p w:rsidR="003D4657" w:rsidRDefault="003D4657">
            <w:pPr>
              <w:jc w:val="both"/>
              <w:rPr>
                <w:rFonts w:cs="Arial"/>
                <w:sz w:val="20"/>
                <w:szCs w:val="20"/>
              </w:rPr>
            </w:pPr>
            <w:r>
              <w:rPr>
                <w:rFonts w:cs="Arial"/>
                <w:sz w:val="20"/>
                <w:szCs w:val="20"/>
              </w:rPr>
              <w:t>Maintaining professional standards as outlined in the GMC document 'Maintaining Good Medical Practice'</w:t>
            </w:r>
          </w:p>
          <w:p w:rsidR="003D4657" w:rsidRDefault="003D4657">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3D4657" w:rsidRDefault="003D4657">
            <w:pPr>
              <w:jc w:val="both"/>
              <w:rPr>
                <w:rFonts w:cs="Arial"/>
                <w:sz w:val="20"/>
                <w:szCs w:val="20"/>
                <w:lang w:val="en-US" w:eastAsia="en-US"/>
              </w:rPr>
            </w:pPr>
          </w:p>
        </w:tc>
      </w:tr>
      <w:tr w:rsidR="003D4657" w:rsidTr="003D4657">
        <w:trPr>
          <w:trHeight w:val="144"/>
        </w:trPr>
        <w:tc>
          <w:tcPr>
            <w:tcW w:w="3420" w:type="dxa"/>
            <w:tcBorders>
              <w:top w:val="single" w:sz="4" w:space="0" w:color="auto"/>
              <w:left w:val="single" w:sz="4" w:space="0" w:color="auto"/>
              <w:bottom w:val="single" w:sz="4" w:space="0" w:color="auto"/>
              <w:right w:val="single" w:sz="4" w:space="0" w:color="auto"/>
            </w:tcBorders>
            <w:hideMark/>
          </w:tcPr>
          <w:p w:rsidR="003D4657" w:rsidRDefault="003D4657">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3D4657" w:rsidRDefault="003D4657">
            <w:pPr>
              <w:jc w:val="both"/>
              <w:rPr>
                <w:rFonts w:cs="Arial"/>
                <w:sz w:val="20"/>
                <w:szCs w:val="20"/>
                <w:lang w:val="en-US" w:eastAsia="en-US"/>
              </w:rPr>
            </w:pPr>
            <w:r>
              <w:rPr>
                <w:rFonts w:cs="Arial"/>
                <w:sz w:val="20"/>
                <w:szCs w:val="20"/>
              </w:rPr>
              <w:t>All rotas are EWTD compliant, Full Shift and banded appropriately.</w:t>
            </w:r>
          </w:p>
          <w:p w:rsidR="003D4657" w:rsidRDefault="003D4657">
            <w:pPr>
              <w:jc w:val="both"/>
              <w:rPr>
                <w:rFonts w:cs="Arial"/>
                <w:sz w:val="20"/>
                <w:szCs w:val="20"/>
              </w:rPr>
            </w:pPr>
          </w:p>
          <w:tbl>
            <w:tblPr>
              <w:tblW w:w="3240" w:type="dxa"/>
              <w:tblLook w:val="04A0" w:firstRow="1" w:lastRow="0" w:firstColumn="1" w:lastColumn="0" w:noHBand="0" w:noVBand="1"/>
            </w:tblPr>
            <w:tblGrid>
              <w:gridCol w:w="1320"/>
              <w:gridCol w:w="960"/>
              <w:gridCol w:w="960"/>
            </w:tblGrid>
            <w:tr w:rsidR="003D4657">
              <w:trPr>
                <w:trHeight w:val="270"/>
              </w:trPr>
              <w:tc>
                <w:tcPr>
                  <w:tcW w:w="1320" w:type="dxa"/>
                  <w:tcBorders>
                    <w:top w:val="single" w:sz="8" w:space="0" w:color="000000"/>
                    <w:left w:val="nil"/>
                    <w:bottom w:val="single" w:sz="8" w:space="0" w:color="000000"/>
                    <w:right w:val="single" w:sz="8" w:space="0" w:color="000000"/>
                  </w:tcBorders>
                  <w:shd w:val="clear" w:color="auto" w:fill="C0C0C0"/>
                  <w:hideMark/>
                </w:tcPr>
                <w:p w:rsidR="003D4657" w:rsidRDefault="003D4657">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3D4657" w:rsidRDefault="003D4657">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3D4657" w:rsidRDefault="003D4657">
                  <w:pPr>
                    <w:jc w:val="center"/>
                    <w:rPr>
                      <w:rFonts w:cs="Arial"/>
                      <w:b/>
                      <w:bCs/>
                      <w:color w:val="000000"/>
                      <w:sz w:val="16"/>
                      <w:szCs w:val="16"/>
                    </w:rPr>
                  </w:pPr>
                  <w:r>
                    <w:rPr>
                      <w:rFonts w:cs="Arial"/>
                      <w:b/>
                      <w:bCs/>
                      <w:color w:val="000000"/>
                      <w:sz w:val="16"/>
                      <w:szCs w:val="16"/>
                    </w:rPr>
                    <w:t>Finish</w:t>
                  </w:r>
                </w:p>
              </w:tc>
            </w:tr>
            <w:tr w:rsidR="003D4657">
              <w:trPr>
                <w:trHeight w:val="270"/>
              </w:trPr>
              <w:tc>
                <w:tcPr>
                  <w:tcW w:w="1320" w:type="dxa"/>
                  <w:tcBorders>
                    <w:top w:val="nil"/>
                    <w:left w:val="nil"/>
                    <w:bottom w:val="single" w:sz="8" w:space="0" w:color="000000"/>
                    <w:right w:val="single" w:sz="8" w:space="0" w:color="000000"/>
                  </w:tcBorders>
                  <w:vAlign w:val="bottom"/>
                  <w:hideMark/>
                </w:tcPr>
                <w:p w:rsidR="003D4657" w:rsidRDefault="003D4657">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3D4657" w:rsidRDefault="003D4657">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3D4657" w:rsidRDefault="003D4657">
                  <w:pPr>
                    <w:jc w:val="center"/>
                    <w:rPr>
                      <w:rFonts w:cs="Arial"/>
                      <w:color w:val="000000"/>
                      <w:sz w:val="16"/>
                      <w:szCs w:val="16"/>
                    </w:rPr>
                  </w:pPr>
                  <w:r>
                    <w:rPr>
                      <w:rFonts w:cs="Arial"/>
                      <w:color w:val="000000"/>
                      <w:sz w:val="16"/>
                      <w:szCs w:val="16"/>
                    </w:rPr>
                    <w:t>17:00</w:t>
                  </w:r>
                </w:p>
              </w:tc>
            </w:tr>
          </w:tbl>
          <w:p w:rsidR="003D4657" w:rsidRDefault="003D4657">
            <w:pPr>
              <w:jc w:val="both"/>
              <w:rPr>
                <w:rFonts w:cs="Arial"/>
                <w:sz w:val="20"/>
                <w:szCs w:val="20"/>
                <w:lang w:val="en-US" w:eastAsia="en-US"/>
              </w:rPr>
            </w:pPr>
          </w:p>
        </w:tc>
      </w:tr>
      <w:tr w:rsidR="003D4657" w:rsidTr="003D4657">
        <w:trPr>
          <w:trHeight w:val="144"/>
        </w:trPr>
        <w:tc>
          <w:tcPr>
            <w:tcW w:w="3420" w:type="dxa"/>
            <w:tcBorders>
              <w:top w:val="single" w:sz="4" w:space="0" w:color="auto"/>
              <w:left w:val="single" w:sz="4" w:space="0" w:color="auto"/>
              <w:bottom w:val="single" w:sz="4" w:space="0" w:color="auto"/>
              <w:right w:val="single" w:sz="4" w:space="0" w:color="auto"/>
            </w:tcBorders>
            <w:hideMark/>
          </w:tcPr>
          <w:p w:rsidR="003D4657" w:rsidRDefault="003D4657">
            <w:pPr>
              <w:rPr>
                <w:rFonts w:cs="Arial"/>
                <w:sz w:val="20"/>
                <w:szCs w:val="20"/>
                <w:lang w:val="en-US" w:eastAsia="en-US"/>
              </w:rPr>
            </w:pPr>
            <w:r>
              <w:rPr>
                <w:rFonts w:cs="Arial"/>
                <w:sz w:val="20"/>
                <w:szCs w:val="20"/>
              </w:rPr>
              <w:t>Employer information</w:t>
            </w:r>
          </w:p>
        </w:tc>
        <w:tc>
          <w:tcPr>
            <w:tcW w:w="6120" w:type="dxa"/>
            <w:tcBorders>
              <w:top w:val="single" w:sz="4" w:space="0" w:color="auto"/>
              <w:left w:val="single" w:sz="4" w:space="0" w:color="auto"/>
              <w:bottom w:val="single" w:sz="4" w:space="0" w:color="auto"/>
              <w:right w:val="single" w:sz="4" w:space="0" w:color="auto"/>
            </w:tcBorders>
          </w:tcPr>
          <w:p w:rsidR="003D4657" w:rsidRDefault="003D4657">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3D4657" w:rsidRDefault="003D4657">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Norfolk and Norwich 21st Century Healthcare</w:t>
            </w:r>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3D4657" w:rsidRDefault="003D4657">
            <w:pPr>
              <w:jc w:val="both"/>
              <w:rPr>
                <w:rFonts w:cs="Arial"/>
                <w:sz w:val="20"/>
                <w:szCs w:val="20"/>
              </w:rPr>
            </w:pPr>
          </w:p>
          <w:p w:rsidR="003D4657" w:rsidRDefault="003D4657">
            <w:pPr>
              <w:jc w:val="both"/>
              <w:rPr>
                <w:rFonts w:cs="Arial"/>
                <w:sz w:val="20"/>
                <w:szCs w:val="20"/>
              </w:rPr>
            </w:pPr>
            <w:r>
              <w:rPr>
                <w:rFonts w:cs="Arial"/>
                <w:sz w:val="20"/>
                <w:szCs w:val="20"/>
              </w:rPr>
              <w:t>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3D4657" w:rsidRDefault="003D4657">
            <w:pPr>
              <w:jc w:val="both"/>
              <w:rPr>
                <w:rFonts w:cs="Arial"/>
                <w:sz w:val="20"/>
                <w:szCs w:val="20"/>
                <w:lang w:val="en-US" w:eastAsia="en-US"/>
              </w:rPr>
            </w:pPr>
          </w:p>
        </w:tc>
      </w:tr>
    </w:tbl>
    <w:p w:rsidR="003D4657" w:rsidRDefault="003D4657" w:rsidP="003D4657">
      <w:pPr>
        <w:rPr>
          <w:rFonts w:cs="Arial"/>
          <w:sz w:val="22"/>
          <w:szCs w:val="22"/>
          <w:lang w:val="en-US" w:eastAsia="en-US"/>
        </w:rPr>
      </w:pPr>
    </w:p>
    <w:p w:rsidR="003D4657" w:rsidRDefault="003D4657" w:rsidP="003D4657">
      <w:pPr>
        <w:rPr>
          <w:rFonts w:cs="Arial"/>
          <w:sz w:val="22"/>
          <w:szCs w:val="22"/>
        </w:rPr>
      </w:pPr>
      <w:r>
        <w:rPr>
          <w:rFonts w:cs="Arial"/>
          <w:sz w:val="22"/>
          <w:szCs w:val="22"/>
        </w:rPr>
        <w:t>It is important to note that this description is a typical example of your placement and may be subject to change.</w:t>
      </w:r>
    </w:p>
    <w:p w:rsidR="00DF21D4" w:rsidRPr="003D4657" w:rsidRDefault="00DF21D4" w:rsidP="003D4657"/>
    <w:sectPr w:rsidR="00DF21D4" w:rsidRPr="003D4657"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F4C03"/>
    <w:rsid w:val="001610E2"/>
    <w:rsid w:val="001B43CB"/>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959A4"/>
    <w:rsid w:val="00BC5EC3"/>
    <w:rsid w:val="00BD0FBB"/>
    <w:rsid w:val="00C046E4"/>
    <w:rsid w:val="00C2247A"/>
    <w:rsid w:val="00C5096B"/>
    <w:rsid w:val="00C613B3"/>
    <w:rsid w:val="00CA74A2"/>
    <w:rsid w:val="00D22CF2"/>
    <w:rsid w:val="00D36A35"/>
    <w:rsid w:val="00DC1A97"/>
    <w:rsid w:val="00DD1D02"/>
    <w:rsid w:val="00DE4B05"/>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2016-09-22T15:02:00Z</dcterms:created>
  <dcterms:modified xsi:type="dcterms:W3CDTF">2016-09-22T15:02:00Z</dcterms:modified>
</cp:coreProperties>
</file>