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C24" w:rsidRDefault="00674C24" w:rsidP="00674C24">
      <w:pPr>
        <w:tabs>
          <w:tab w:val="center" w:pos="5040"/>
          <w:tab w:val="right" w:pos="9900"/>
        </w:tabs>
      </w:pPr>
      <w:r>
        <w:t xml:space="preserve"> </w:t>
      </w:r>
      <w:r>
        <w:tab/>
      </w:r>
      <w:r>
        <w:tab/>
      </w:r>
      <w:bookmarkStart w:id="0" w:name="_GoBack"/>
      <w:bookmarkEnd w:id="0"/>
    </w:p>
    <w:p w:rsidR="00674C24" w:rsidRDefault="00674C24" w:rsidP="00674C24">
      <w:pPr>
        <w:jc w:val="center"/>
        <w:rPr>
          <w:rFonts w:cs="Arial"/>
          <w:b/>
          <w:sz w:val="28"/>
          <w:szCs w:val="28"/>
        </w:rPr>
      </w:pPr>
    </w:p>
    <w:p w:rsidR="00674C24" w:rsidRPr="002C3834" w:rsidRDefault="00674C24" w:rsidP="00674C24">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674C24" w:rsidRDefault="00674C24" w:rsidP="00674C24">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674C24" w:rsidRDefault="00674C24" w:rsidP="00674C24">
      <w:pPr>
        <w:jc w:val="center"/>
        <w:rPr>
          <w:rFonts w:cs="Arial"/>
          <w:b/>
          <w:sz w:val="28"/>
          <w:szCs w:val="28"/>
        </w:rPr>
      </w:pPr>
    </w:p>
    <w:p w:rsidR="00674C24" w:rsidRPr="002C3834" w:rsidRDefault="00674C24" w:rsidP="00674C24">
      <w:pPr>
        <w:jc w:val="center"/>
        <w:rPr>
          <w:rFonts w:cs="Arial"/>
          <w:b/>
          <w:sz w:val="28"/>
          <w:szCs w:val="28"/>
        </w:rPr>
      </w:pPr>
      <w:r>
        <w:rPr>
          <w:rFonts w:cs="Arial"/>
          <w:b/>
          <w:sz w:val="28"/>
          <w:szCs w:val="28"/>
        </w:rPr>
        <w:t>Ipswich Hospital NHS Trust</w:t>
      </w:r>
    </w:p>
    <w:p w:rsidR="00674C24" w:rsidRDefault="00674C24" w:rsidP="00674C24">
      <w:pPr>
        <w:rPr>
          <w:rFonts w:cs="Arial"/>
          <w:b/>
          <w:sz w:val="22"/>
          <w:szCs w:val="22"/>
        </w:rPr>
      </w:pPr>
    </w:p>
    <w:p w:rsidR="00674C24" w:rsidRPr="0043462B" w:rsidRDefault="00674C24" w:rsidP="00674C24">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674C24" w:rsidRDefault="00674C24" w:rsidP="00674C24">
      <w:pPr>
        <w:rPr>
          <w:rFonts w:cs="Arial"/>
          <w:b/>
          <w:sz w:val="22"/>
          <w:szCs w:val="22"/>
        </w:rPr>
      </w:pPr>
    </w:p>
    <w:tbl>
      <w:tblPr>
        <w:tblW w:w="8028" w:type="dxa"/>
        <w:tblLook w:val="01E0" w:firstRow="1" w:lastRow="1" w:firstColumn="1" w:lastColumn="1" w:noHBand="0" w:noVBand="0"/>
      </w:tblPr>
      <w:tblGrid>
        <w:gridCol w:w="3851"/>
        <w:gridCol w:w="4177"/>
      </w:tblGrid>
      <w:tr w:rsidR="00674C24" w:rsidRPr="004F4EE0" w:rsidTr="0069317B">
        <w:trPr>
          <w:trHeight w:val="144"/>
        </w:trPr>
        <w:tc>
          <w:tcPr>
            <w:tcW w:w="3851" w:type="dxa"/>
          </w:tcPr>
          <w:p w:rsidR="00674C24" w:rsidRPr="004F4EE0" w:rsidRDefault="00674C24" w:rsidP="0069317B">
            <w:pPr>
              <w:jc w:val="both"/>
              <w:rPr>
                <w:rFonts w:cs="Arial"/>
                <w:b/>
              </w:rPr>
            </w:pPr>
            <w:r>
              <w:rPr>
                <w:rFonts w:cs="Arial"/>
                <w:b/>
                <w:sz w:val="22"/>
                <w:szCs w:val="22"/>
              </w:rPr>
              <w:t>Placement</w:t>
            </w:r>
          </w:p>
        </w:tc>
        <w:tc>
          <w:tcPr>
            <w:tcW w:w="4177" w:type="dxa"/>
          </w:tcPr>
          <w:p w:rsidR="00674C24" w:rsidRPr="00F909C5" w:rsidRDefault="00674C24" w:rsidP="0069317B">
            <w:pPr>
              <w:jc w:val="both"/>
              <w:rPr>
                <w:rFonts w:cs="Arial"/>
              </w:rPr>
            </w:pPr>
            <w:r>
              <w:rPr>
                <w:rFonts w:cs="Arial"/>
              </w:rPr>
              <w:t>Surgery Ipswich Hospital</w:t>
            </w:r>
          </w:p>
          <w:p w:rsidR="00674C24" w:rsidRPr="00F909C5" w:rsidRDefault="00674C24" w:rsidP="0069317B">
            <w:pPr>
              <w:jc w:val="both"/>
              <w:rPr>
                <w:rFonts w:cs="Arial"/>
              </w:rPr>
            </w:pPr>
          </w:p>
        </w:tc>
      </w:tr>
      <w:tr w:rsidR="00674C24" w:rsidRPr="004F4EE0" w:rsidTr="0069317B">
        <w:trPr>
          <w:trHeight w:val="144"/>
        </w:trPr>
        <w:tc>
          <w:tcPr>
            <w:tcW w:w="3851" w:type="dxa"/>
          </w:tcPr>
          <w:p w:rsidR="00674C24" w:rsidRDefault="00674C24" w:rsidP="0069317B">
            <w:pPr>
              <w:rPr>
                <w:rFonts w:cs="Arial"/>
                <w:b/>
              </w:rPr>
            </w:pPr>
            <w:r>
              <w:rPr>
                <w:rFonts w:cs="Arial"/>
                <w:b/>
                <w:sz w:val="22"/>
                <w:szCs w:val="22"/>
              </w:rPr>
              <w:t>The department</w:t>
            </w:r>
          </w:p>
        </w:tc>
        <w:tc>
          <w:tcPr>
            <w:tcW w:w="4177" w:type="dxa"/>
          </w:tcPr>
          <w:p w:rsidR="00674C24" w:rsidRDefault="00674C24" w:rsidP="0069317B">
            <w:pPr>
              <w:rPr>
                <w:rFonts w:cs="Arial"/>
              </w:rPr>
            </w:pPr>
            <w:r>
              <w:rPr>
                <w:rFonts w:cs="Arial"/>
              </w:rPr>
              <w:t>3 x HPB Surgeons</w:t>
            </w:r>
          </w:p>
          <w:p w:rsidR="00674C24" w:rsidRDefault="00674C24" w:rsidP="0069317B">
            <w:pPr>
              <w:rPr>
                <w:rFonts w:cs="Arial"/>
              </w:rPr>
            </w:pPr>
            <w:r>
              <w:rPr>
                <w:rFonts w:cs="Arial"/>
              </w:rPr>
              <w:t>4 x Colorectal Surgeons</w:t>
            </w:r>
          </w:p>
          <w:p w:rsidR="00674C24" w:rsidRDefault="00674C24" w:rsidP="0069317B">
            <w:pPr>
              <w:rPr>
                <w:rFonts w:cs="Arial"/>
              </w:rPr>
            </w:pPr>
            <w:r>
              <w:rPr>
                <w:rFonts w:cs="Arial"/>
              </w:rPr>
              <w:t>3 x Vascular Surgeons</w:t>
            </w:r>
          </w:p>
          <w:p w:rsidR="00674C24" w:rsidRPr="00F909C5" w:rsidRDefault="00674C24" w:rsidP="0069317B">
            <w:pPr>
              <w:rPr>
                <w:rFonts w:cs="Arial"/>
              </w:rPr>
            </w:pPr>
            <w:r>
              <w:rPr>
                <w:rFonts w:cs="Arial"/>
              </w:rPr>
              <w:t>4 x Urological Surgeons</w:t>
            </w:r>
          </w:p>
          <w:p w:rsidR="00674C24" w:rsidRPr="00F909C5" w:rsidRDefault="00674C24" w:rsidP="0069317B">
            <w:pPr>
              <w:rPr>
                <w:rFonts w:cs="Arial"/>
              </w:rPr>
            </w:pPr>
          </w:p>
        </w:tc>
      </w:tr>
      <w:tr w:rsidR="00674C24" w:rsidRPr="004F4EE0" w:rsidTr="0069317B">
        <w:trPr>
          <w:trHeight w:val="144"/>
        </w:trPr>
        <w:tc>
          <w:tcPr>
            <w:tcW w:w="3851" w:type="dxa"/>
          </w:tcPr>
          <w:p w:rsidR="00674C24" w:rsidRPr="00047073" w:rsidRDefault="00674C24" w:rsidP="0069317B">
            <w:pPr>
              <w:rPr>
                <w:rFonts w:cs="Arial"/>
                <w:b/>
              </w:rPr>
            </w:pPr>
            <w:r>
              <w:rPr>
                <w:rFonts w:cs="Arial"/>
                <w:b/>
                <w:sz w:val="22"/>
                <w:szCs w:val="22"/>
              </w:rPr>
              <w:t>The type of work to expect and learning opportunities</w:t>
            </w:r>
          </w:p>
        </w:tc>
        <w:tc>
          <w:tcPr>
            <w:tcW w:w="4177" w:type="dxa"/>
          </w:tcPr>
          <w:p w:rsidR="00674C24" w:rsidRDefault="00674C24" w:rsidP="0069317B">
            <w:pPr>
              <w:rPr>
                <w:rFonts w:cs="Arial"/>
              </w:rPr>
            </w:pPr>
            <w:r>
              <w:rPr>
                <w:rFonts w:cs="Arial"/>
              </w:rPr>
              <w:t>FY 1 and 2 Level posts in a Mid-sized DGH</w:t>
            </w:r>
          </w:p>
          <w:p w:rsidR="00674C24" w:rsidRPr="00F909C5" w:rsidRDefault="00674C24" w:rsidP="0069317B">
            <w:pPr>
              <w:rPr>
                <w:rFonts w:cs="Arial"/>
              </w:rPr>
            </w:pPr>
          </w:p>
        </w:tc>
      </w:tr>
      <w:tr w:rsidR="00674C24" w:rsidRPr="004F4EE0" w:rsidTr="0069317B">
        <w:trPr>
          <w:trHeight w:val="144"/>
        </w:trPr>
        <w:tc>
          <w:tcPr>
            <w:tcW w:w="3851" w:type="dxa"/>
          </w:tcPr>
          <w:p w:rsidR="00674C24" w:rsidRPr="004F4EE0" w:rsidRDefault="00674C24" w:rsidP="0069317B">
            <w:pPr>
              <w:jc w:val="both"/>
              <w:rPr>
                <w:rFonts w:cs="Arial"/>
                <w:b/>
              </w:rPr>
            </w:pPr>
            <w:r>
              <w:rPr>
                <w:rFonts w:cs="Arial"/>
                <w:b/>
                <w:sz w:val="22"/>
                <w:szCs w:val="22"/>
              </w:rPr>
              <w:t>Where the placement is based</w:t>
            </w:r>
          </w:p>
        </w:tc>
        <w:tc>
          <w:tcPr>
            <w:tcW w:w="4177" w:type="dxa"/>
          </w:tcPr>
          <w:p w:rsidR="00674C24" w:rsidRPr="00F909C5" w:rsidRDefault="00674C24" w:rsidP="0069317B">
            <w:pPr>
              <w:jc w:val="both"/>
              <w:rPr>
                <w:rFonts w:cs="Arial"/>
              </w:rPr>
            </w:pPr>
            <w:r>
              <w:rPr>
                <w:rFonts w:cs="Arial"/>
              </w:rPr>
              <w:t>Ipswich Hospital</w:t>
            </w:r>
          </w:p>
          <w:p w:rsidR="00674C24" w:rsidRPr="00F909C5" w:rsidRDefault="00674C24" w:rsidP="0069317B">
            <w:pPr>
              <w:jc w:val="both"/>
              <w:rPr>
                <w:rFonts w:cs="Arial"/>
              </w:rPr>
            </w:pPr>
          </w:p>
        </w:tc>
      </w:tr>
      <w:tr w:rsidR="00674C24" w:rsidRPr="004F4EE0" w:rsidTr="0069317B">
        <w:trPr>
          <w:trHeight w:val="144"/>
        </w:trPr>
        <w:tc>
          <w:tcPr>
            <w:tcW w:w="3851" w:type="dxa"/>
          </w:tcPr>
          <w:p w:rsidR="00674C24" w:rsidRDefault="00674C24" w:rsidP="0069317B">
            <w:pPr>
              <w:jc w:val="both"/>
              <w:rPr>
                <w:rFonts w:cs="Arial"/>
                <w:b/>
              </w:rPr>
            </w:pPr>
            <w:r>
              <w:rPr>
                <w:rFonts w:cs="Arial"/>
                <w:b/>
                <w:sz w:val="22"/>
                <w:szCs w:val="22"/>
              </w:rPr>
              <w:t>Clinical Supervisor(s) for the placement</w:t>
            </w:r>
          </w:p>
        </w:tc>
        <w:tc>
          <w:tcPr>
            <w:tcW w:w="4177" w:type="dxa"/>
          </w:tcPr>
          <w:p w:rsidR="00674C24" w:rsidRPr="00F909C5" w:rsidRDefault="00674C24" w:rsidP="0069317B">
            <w:pPr>
              <w:jc w:val="both"/>
              <w:rPr>
                <w:rFonts w:cs="Arial"/>
              </w:rPr>
            </w:pPr>
            <w:r w:rsidRPr="00F909C5">
              <w:rPr>
                <w:rFonts w:cs="Arial"/>
                <w:sz w:val="22"/>
                <w:szCs w:val="22"/>
              </w:rPr>
              <w:t>(If information available at this time)</w:t>
            </w:r>
          </w:p>
          <w:p w:rsidR="00674C24" w:rsidRPr="00F909C5" w:rsidRDefault="00674C24" w:rsidP="0069317B">
            <w:pPr>
              <w:jc w:val="both"/>
              <w:rPr>
                <w:rFonts w:cs="Arial"/>
              </w:rPr>
            </w:pPr>
          </w:p>
        </w:tc>
      </w:tr>
      <w:tr w:rsidR="00674C24" w:rsidRPr="004F4EE0" w:rsidTr="0069317B">
        <w:trPr>
          <w:trHeight w:val="144"/>
        </w:trPr>
        <w:tc>
          <w:tcPr>
            <w:tcW w:w="3851" w:type="dxa"/>
          </w:tcPr>
          <w:p w:rsidR="00674C24" w:rsidRDefault="00674C24" w:rsidP="0069317B">
            <w:pPr>
              <w:rPr>
                <w:rFonts w:cs="Arial"/>
                <w:b/>
              </w:rPr>
            </w:pPr>
            <w:r>
              <w:rPr>
                <w:rFonts w:cs="Arial"/>
                <w:b/>
                <w:sz w:val="22"/>
                <w:szCs w:val="22"/>
              </w:rPr>
              <w:t>Main duties of the placement</w:t>
            </w:r>
          </w:p>
        </w:tc>
        <w:tc>
          <w:tcPr>
            <w:tcW w:w="4177" w:type="dxa"/>
          </w:tcPr>
          <w:p w:rsidR="00674C24" w:rsidRPr="00F909C5" w:rsidRDefault="00674C24" w:rsidP="0069317B">
            <w:pPr>
              <w:jc w:val="both"/>
              <w:rPr>
                <w:rFonts w:cs="Arial"/>
              </w:rPr>
            </w:pPr>
          </w:p>
          <w:p w:rsidR="00674C24" w:rsidRPr="00F909C5" w:rsidRDefault="00674C24" w:rsidP="0069317B">
            <w:pPr>
              <w:jc w:val="both"/>
              <w:rPr>
                <w:rFonts w:cs="Arial"/>
              </w:rPr>
            </w:pPr>
          </w:p>
        </w:tc>
      </w:tr>
      <w:tr w:rsidR="00674C24" w:rsidRPr="004F4EE0" w:rsidTr="0069317B">
        <w:trPr>
          <w:trHeight w:val="144"/>
        </w:trPr>
        <w:tc>
          <w:tcPr>
            <w:tcW w:w="3851" w:type="dxa"/>
          </w:tcPr>
          <w:p w:rsidR="00674C24" w:rsidRDefault="00674C24" w:rsidP="0069317B">
            <w:pPr>
              <w:jc w:val="both"/>
              <w:rPr>
                <w:rFonts w:cs="Arial"/>
                <w:b/>
              </w:rPr>
            </w:pPr>
            <w:r>
              <w:rPr>
                <w:rFonts w:cs="Arial"/>
                <w:b/>
                <w:sz w:val="22"/>
                <w:szCs w:val="22"/>
              </w:rPr>
              <w:t>Typical working pattern in this placement</w:t>
            </w:r>
          </w:p>
        </w:tc>
        <w:tc>
          <w:tcPr>
            <w:tcW w:w="4177" w:type="dxa"/>
          </w:tcPr>
          <w:p w:rsidR="00674C24" w:rsidRDefault="00674C24" w:rsidP="0069317B">
            <w:pPr>
              <w:rPr>
                <w:rFonts w:cs="Arial"/>
              </w:rPr>
            </w:pPr>
            <w:r>
              <w:rPr>
                <w:rFonts w:cs="Arial"/>
                <w:sz w:val="22"/>
                <w:szCs w:val="22"/>
              </w:rPr>
              <w:t>Emergency work is mixed-specialty covering General, Urological, Vascular and Orthopaedic Surgery.  When working an emergency shift the FY1 and 2 doctors will admit and care for patients from all the above specialities.</w:t>
            </w:r>
          </w:p>
          <w:p w:rsidR="00674C24" w:rsidRDefault="00674C24" w:rsidP="0069317B">
            <w:pPr>
              <w:rPr>
                <w:rFonts w:cs="Arial"/>
              </w:rPr>
            </w:pPr>
          </w:p>
          <w:p w:rsidR="00674C24" w:rsidRDefault="00674C24" w:rsidP="0069317B">
            <w:pPr>
              <w:rPr>
                <w:rFonts w:cs="Arial"/>
              </w:rPr>
            </w:pPr>
            <w:r>
              <w:rPr>
                <w:rFonts w:cs="Arial"/>
                <w:sz w:val="22"/>
                <w:szCs w:val="22"/>
              </w:rPr>
              <w:t xml:space="preserve">Non-emergency work is firm-based in </w:t>
            </w:r>
            <w:proofErr w:type="gramStart"/>
            <w:r>
              <w:rPr>
                <w:rFonts w:cs="Arial"/>
                <w:sz w:val="22"/>
                <w:szCs w:val="22"/>
              </w:rPr>
              <w:t>either HPB</w:t>
            </w:r>
            <w:proofErr w:type="gramEnd"/>
            <w:r>
              <w:rPr>
                <w:rFonts w:cs="Arial"/>
                <w:sz w:val="22"/>
                <w:szCs w:val="22"/>
              </w:rPr>
              <w:t xml:space="preserve">, Colorectal, </w:t>
            </w:r>
            <w:proofErr w:type="spellStart"/>
            <w:r>
              <w:rPr>
                <w:rFonts w:cs="Arial"/>
                <w:sz w:val="22"/>
                <w:szCs w:val="22"/>
              </w:rPr>
              <w:t>Urol</w:t>
            </w:r>
            <w:proofErr w:type="spellEnd"/>
            <w:r>
              <w:rPr>
                <w:rFonts w:cs="Arial"/>
                <w:sz w:val="22"/>
                <w:szCs w:val="22"/>
              </w:rPr>
              <w:t xml:space="preserve"> &amp; </w:t>
            </w:r>
            <w:proofErr w:type="spellStart"/>
            <w:r>
              <w:rPr>
                <w:rFonts w:cs="Arial"/>
                <w:sz w:val="22"/>
                <w:szCs w:val="22"/>
              </w:rPr>
              <w:t>Vasc</w:t>
            </w:r>
            <w:proofErr w:type="spellEnd"/>
            <w:r>
              <w:rPr>
                <w:rFonts w:cs="Arial"/>
                <w:sz w:val="22"/>
                <w:szCs w:val="22"/>
              </w:rPr>
              <w:t xml:space="preserve"> or Orthopaedics.  Whilst some degree of flexibility is necessary FY1 and 2 doctors would not routinely be expected to provide cross-specialty cover.</w:t>
            </w:r>
          </w:p>
          <w:p w:rsidR="00674C24" w:rsidRDefault="00674C24" w:rsidP="0069317B">
            <w:pPr>
              <w:rPr>
                <w:rFonts w:cs="Arial"/>
              </w:rPr>
            </w:pPr>
          </w:p>
          <w:p w:rsidR="00674C24" w:rsidRDefault="00674C24" w:rsidP="0069317B">
            <w:pPr>
              <w:rPr>
                <w:rFonts w:cs="Arial"/>
              </w:rPr>
            </w:pPr>
            <w:r>
              <w:rPr>
                <w:rFonts w:cs="Arial"/>
                <w:sz w:val="22"/>
                <w:szCs w:val="22"/>
              </w:rPr>
              <w:t xml:space="preserve">Time is blocked off in the timetable for “flexi” days for the FY1 doctors </w:t>
            </w:r>
            <w:proofErr w:type="gramStart"/>
            <w:r>
              <w:rPr>
                <w:rFonts w:cs="Arial"/>
                <w:sz w:val="22"/>
                <w:szCs w:val="22"/>
              </w:rPr>
              <w:t>which</w:t>
            </w:r>
            <w:proofErr w:type="gramEnd"/>
            <w:r>
              <w:rPr>
                <w:rFonts w:cs="Arial"/>
                <w:sz w:val="22"/>
                <w:szCs w:val="22"/>
              </w:rPr>
              <w:t xml:space="preserve"> allows them to undertake taster activities and study opportunities.</w:t>
            </w:r>
          </w:p>
          <w:p w:rsidR="00674C24" w:rsidRDefault="00674C24" w:rsidP="0069317B">
            <w:pPr>
              <w:rPr>
                <w:rFonts w:cs="Arial"/>
              </w:rPr>
            </w:pPr>
          </w:p>
          <w:p w:rsidR="00674C24" w:rsidRDefault="00674C24" w:rsidP="0069317B">
            <w:pPr>
              <w:rPr>
                <w:rFonts w:cs="Arial"/>
              </w:rPr>
            </w:pPr>
            <w:r>
              <w:rPr>
                <w:rFonts w:cs="Arial"/>
                <w:sz w:val="22"/>
                <w:szCs w:val="22"/>
              </w:rPr>
              <w:t>Holidays is partly built in to the rota and thus “fixed” for the FY1 doctors although there is still prospective cover and an element of flexibility.</w:t>
            </w:r>
          </w:p>
          <w:p w:rsidR="00674C24" w:rsidRDefault="00674C24" w:rsidP="0069317B">
            <w:pPr>
              <w:rPr>
                <w:rFonts w:cs="Arial"/>
              </w:rPr>
            </w:pPr>
            <w:r>
              <w:rPr>
                <w:rFonts w:cs="Arial"/>
                <w:sz w:val="22"/>
                <w:szCs w:val="22"/>
              </w:rPr>
              <w:t xml:space="preserve">Holiday and Study leave for the FY2 doctors is covered entirely prospectively </w:t>
            </w:r>
          </w:p>
          <w:p w:rsidR="00674C24" w:rsidRDefault="00674C24" w:rsidP="0069317B">
            <w:pPr>
              <w:rPr>
                <w:rFonts w:cs="Arial"/>
              </w:rPr>
            </w:pPr>
          </w:p>
          <w:p w:rsidR="00674C24" w:rsidRDefault="00674C24" w:rsidP="0069317B">
            <w:pPr>
              <w:rPr>
                <w:rFonts w:cs="Arial"/>
              </w:rPr>
            </w:pPr>
            <w:r>
              <w:rPr>
                <w:rFonts w:cs="Arial"/>
                <w:sz w:val="22"/>
                <w:szCs w:val="22"/>
              </w:rPr>
              <w:lastRenderedPageBreak/>
              <w:t>In a 14 week cycle the FY1 doctor will work:</w:t>
            </w:r>
          </w:p>
          <w:p w:rsidR="00674C24" w:rsidRDefault="00674C24" w:rsidP="0069317B">
            <w:pPr>
              <w:rPr>
                <w:rFonts w:cs="Arial"/>
              </w:rPr>
            </w:pPr>
            <w:r>
              <w:rPr>
                <w:rFonts w:cs="Arial"/>
                <w:sz w:val="22"/>
                <w:szCs w:val="22"/>
              </w:rPr>
              <w:t>7 x emergency night shifts (2000-0800)</w:t>
            </w:r>
          </w:p>
          <w:p w:rsidR="00674C24" w:rsidRDefault="00674C24" w:rsidP="0069317B">
            <w:pPr>
              <w:rPr>
                <w:rFonts w:cs="Arial"/>
              </w:rPr>
            </w:pPr>
            <w:r>
              <w:rPr>
                <w:rFonts w:cs="Arial"/>
                <w:sz w:val="22"/>
                <w:szCs w:val="22"/>
              </w:rPr>
              <w:t xml:space="preserve">9 x emergency day shifts (0800-2000) </w:t>
            </w:r>
          </w:p>
          <w:p w:rsidR="00674C24" w:rsidRDefault="00674C24" w:rsidP="0069317B">
            <w:pPr>
              <w:rPr>
                <w:rFonts w:cs="Arial"/>
              </w:rPr>
            </w:pPr>
            <w:r>
              <w:rPr>
                <w:rFonts w:cs="Arial"/>
                <w:sz w:val="22"/>
                <w:szCs w:val="22"/>
              </w:rPr>
              <w:t xml:space="preserve">7 x emergency late shifts (1600-0000)  </w:t>
            </w:r>
          </w:p>
          <w:p w:rsidR="00674C24" w:rsidRDefault="00674C24" w:rsidP="0069317B">
            <w:pPr>
              <w:rPr>
                <w:rFonts w:cs="Arial"/>
              </w:rPr>
            </w:pPr>
            <w:r>
              <w:rPr>
                <w:rFonts w:cs="Arial"/>
                <w:sz w:val="22"/>
                <w:szCs w:val="22"/>
              </w:rPr>
              <w:t>4 “flexi” shifts (0800-1600)</w:t>
            </w:r>
          </w:p>
          <w:p w:rsidR="00674C24" w:rsidRDefault="00674C24" w:rsidP="0069317B">
            <w:pPr>
              <w:rPr>
                <w:rFonts w:cs="Arial"/>
              </w:rPr>
            </w:pPr>
            <w:r>
              <w:rPr>
                <w:rFonts w:cs="Arial"/>
                <w:sz w:val="22"/>
                <w:szCs w:val="22"/>
              </w:rPr>
              <w:t>6 week firm-based 0800-1700 Mon-Fri</w:t>
            </w:r>
          </w:p>
          <w:p w:rsidR="00674C24" w:rsidRDefault="00674C24" w:rsidP="0069317B">
            <w:pPr>
              <w:rPr>
                <w:rFonts w:cs="Arial"/>
              </w:rPr>
            </w:pPr>
            <w:r>
              <w:rPr>
                <w:rFonts w:cs="Arial"/>
                <w:sz w:val="22"/>
                <w:szCs w:val="22"/>
              </w:rPr>
              <w:t>The remainder of the time will be compensatory rest or holiday.</w:t>
            </w:r>
          </w:p>
          <w:p w:rsidR="00674C24" w:rsidRDefault="00674C24" w:rsidP="0069317B">
            <w:pPr>
              <w:rPr>
                <w:rFonts w:cs="Arial"/>
              </w:rPr>
            </w:pPr>
          </w:p>
          <w:p w:rsidR="00674C24" w:rsidRDefault="00674C24" w:rsidP="0069317B">
            <w:pPr>
              <w:rPr>
                <w:rFonts w:cs="Arial"/>
              </w:rPr>
            </w:pPr>
            <w:r>
              <w:rPr>
                <w:rFonts w:cs="Arial"/>
                <w:sz w:val="22"/>
                <w:szCs w:val="22"/>
              </w:rPr>
              <w:t>In a 11 week cycle the FY2 doctor will work:</w:t>
            </w:r>
          </w:p>
          <w:p w:rsidR="00674C24" w:rsidRDefault="00674C24" w:rsidP="0069317B">
            <w:pPr>
              <w:rPr>
                <w:rFonts w:cs="Arial"/>
              </w:rPr>
            </w:pPr>
            <w:r>
              <w:rPr>
                <w:rFonts w:cs="Arial"/>
                <w:sz w:val="22"/>
                <w:szCs w:val="22"/>
              </w:rPr>
              <w:t>7 x emergency night shift (2200 – 0900)</w:t>
            </w:r>
          </w:p>
          <w:p w:rsidR="00674C24" w:rsidRDefault="00674C24" w:rsidP="0069317B">
            <w:pPr>
              <w:rPr>
                <w:rFonts w:cs="Arial"/>
              </w:rPr>
            </w:pPr>
            <w:r>
              <w:rPr>
                <w:rFonts w:cs="Arial"/>
                <w:sz w:val="22"/>
                <w:szCs w:val="22"/>
              </w:rPr>
              <w:t>9 x emergency day shifts (0800-2000)</w:t>
            </w:r>
          </w:p>
          <w:p w:rsidR="00674C24" w:rsidRDefault="00674C24" w:rsidP="0069317B">
            <w:pPr>
              <w:rPr>
                <w:rFonts w:cs="Arial"/>
              </w:rPr>
            </w:pPr>
            <w:r>
              <w:rPr>
                <w:rFonts w:cs="Arial"/>
                <w:sz w:val="22"/>
                <w:szCs w:val="22"/>
              </w:rPr>
              <w:t>7 weeks firm based 0800-1700</w:t>
            </w:r>
          </w:p>
          <w:p w:rsidR="00674C24" w:rsidRDefault="00674C24" w:rsidP="0069317B">
            <w:pPr>
              <w:rPr>
                <w:rFonts w:cs="Arial"/>
              </w:rPr>
            </w:pPr>
            <w:r>
              <w:rPr>
                <w:rFonts w:cs="Arial"/>
                <w:sz w:val="22"/>
                <w:szCs w:val="22"/>
              </w:rPr>
              <w:t>The remainder of the time is compensatory rest.</w:t>
            </w:r>
          </w:p>
          <w:p w:rsidR="00674C24" w:rsidRPr="00F909C5" w:rsidRDefault="00674C24" w:rsidP="0069317B">
            <w:pPr>
              <w:rPr>
                <w:rFonts w:cs="Arial"/>
              </w:rPr>
            </w:pPr>
          </w:p>
        </w:tc>
      </w:tr>
      <w:tr w:rsidR="00674C24" w:rsidRPr="004F4EE0" w:rsidTr="0069317B">
        <w:trPr>
          <w:trHeight w:val="144"/>
        </w:trPr>
        <w:tc>
          <w:tcPr>
            <w:tcW w:w="3851" w:type="dxa"/>
          </w:tcPr>
          <w:p w:rsidR="00674C24" w:rsidRPr="00C70B03" w:rsidRDefault="00674C24" w:rsidP="0069317B">
            <w:pPr>
              <w:rPr>
                <w:rFonts w:cs="Arial"/>
                <w:b/>
              </w:rPr>
            </w:pPr>
            <w:r>
              <w:rPr>
                <w:rFonts w:cs="Arial"/>
                <w:b/>
                <w:sz w:val="22"/>
                <w:szCs w:val="22"/>
              </w:rPr>
              <w:lastRenderedPageBreak/>
              <w:t>Employer information</w:t>
            </w:r>
          </w:p>
        </w:tc>
        <w:tc>
          <w:tcPr>
            <w:tcW w:w="4177" w:type="dxa"/>
          </w:tcPr>
          <w:p w:rsidR="00674C24" w:rsidRDefault="00674C24" w:rsidP="0069317B">
            <w:pPr>
              <w:pStyle w:val="BodyText"/>
              <w:rPr>
                <w:rFonts w:ascii="Arial" w:hAnsi="Arial" w:cs="Arial"/>
                <w:szCs w:val="22"/>
              </w:rPr>
            </w:pPr>
            <w:r>
              <w:rPr>
                <w:rFonts w:ascii="Arial" w:hAnsi="Arial" w:cs="Arial"/>
                <w:szCs w:val="22"/>
              </w:rPr>
              <w:t>The Ipswich Hospital NHS trust is situated on the edge of Ipswich, County town of Suffolk. It has approximately 550 beds and covers a mixed urban and rural population of 360000 people. The hospital is close to beautiful countryside and the Suffolk Heritage Coast but has easy links to London (just over an hour by train). Then hospital has a full range of diagnostic facilities and a well-resourced library and postgraduate centre.</w:t>
            </w:r>
          </w:p>
          <w:p w:rsidR="00674C24" w:rsidRPr="00F909C5" w:rsidRDefault="00674C24" w:rsidP="0069317B">
            <w:pPr>
              <w:pStyle w:val="BodyText"/>
              <w:rPr>
                <w:rFonts w:ascii="Arial" w:hAnsi="Arial" w:cs="Arial"/>
                <w:szCs w:val="22"/>
              </w:rPr>
            </w:pPr>
          </w:p>
        </w:tc>
      </w:tr>
    </w:tbl>
    <w:p w:rsidR="00674C24" w:rsidRDefault="00674C24" w:rsidP="00674C24">
      <w:pPr>
        <w:rPr>
          <w:rFonts w:cs="Arial"/>
          <w:sz w:val="22"/>
          <w:szCs w:val="22"/>
        </w:rPr>
      </w:pPr>
    </w:p>
    <w:p w:rsidR="00674C24" w:rsidRPr="000127C0" w:rsidRDefault="00674C24" w:rsidP="00674C24">
      <w:pPr>
        <w:rPr>
          <w:rFonts w:cs="Arial"/>
          <w:sz w:val="22"/>
          <w:szCs w:val="22"/>
        </w:rPr>
      </w:pPr>
      <w:r>
        <w:rPr>
          <w:rFonts w:cs="Arial"/>
          <w:sz w:val="22"/>
          <w:szCs w:val="22"/>
        </w:rPr>
        <w:t>It is important to note that this description is a typical example of your placement and may be subject to change.</w:t>
      </w:r>
    </w:p>
    <w:p w:rsidR="00674C24" w:rsidRDefault="00674C24" w:rsidP="00674C24"/>
    <w:p w:rsidR="00DF21D4" w:rsidRPr="00674C24" w:rsidRDefault="00DF21D4" w:rsidP="00674C24"/>
    <w:sectPr w:rsidR="00DF21D4" w:rsidRPr="00674C24"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8"/>
  </w:num>
  <w:num w:numId="3">
    <w:abstractNumId w:val="12"/>
  </w:num>
  <w:num w:numId="4">
    <w:abstractNumId w:val="3"/>
  </w:num>
  <w:num w:numId="5">
    <w:abstractNumId w:val="13"/>
  </w:num>
  <w:num w:numId="6">
    <w:abstractNumId w:val="14"/>
  </w:num>
  <w:num w:numId="7">
    <w:abstractNumId w:val="6"/>
  </w:num>
  <w:num w:numId="8">
    <w:abstractNumId w:val="11"/>
  </w:num>
  <w:num w:numId="9">
    <w:abstractNumId w:val="4"/>
  </w:num>
  <w:num w:numId="10">
    <w:abstractNumId w:val="1"/>
  </w:num>
  <w:num w:numId="11">
    <w:abstractNumId w:val="11"/>
  </w:num>
  <w:num w:numId="12">
    <w:abstractNumId w:val="6"/>
  </w:num>
  <w:num w:numId="13">
    <w:abstractNumId w:val="9"/>
  </w:num>
  <w:num w:numId="14">
    <w:abstractNumId w:val="11"/>
  </w:num>
  <w:num w:numId="15">
    <w:abstractNumId w:val="6"/>
  </w:num>
  <w:num w:numId="16">
    <w:abstractNumId w:val="5"/>
  </w:num>
  <w:num w:numId="17">
    <w:abstractNumId w:val="11"/>
  </w:num>
  <w:num w:numId="18">
    <w:abstractNumId w:val="6"/>
  </w:num>
  <w:num w:numId="19">
    <w:abstractNumId w:val="2"/>
  </w:num>
  <w:num w:numId="20">
    <w:abstractNumId w:val="10"/>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3520AB"/>
    <w:rsid w:val="00363F01"/>
    <w:rsid w:val="003963AC"/>
    <w:rsid w:val="00472B89"/>
    <w:rsid w:val="00495A12"/>
    <w:rsid w:val="00524ED1"/>
    <w:rsid w:val="00552ADE"/>
    <w:rsid w:val="00573925"/>
    <w:rsid w:val="005966EF"/>
    <w:rsid w:val="005F73FC"/>
    <w:rsid w:val="00674C24"/>
    <w:rsid w:val="007950BD"/>
    <w:rsid w:val="007D3008"/>
    <w:rsid w:val="00803B90"/>
    <w:rsid w:val="008206BB"/>
    <w:rsid w:val="0085290E"/>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2016-09-22T13:31:00Z</dcterms:created>
  <dcterms:modified xsi:type="dcterms:W3CDTF">2016-09-22T13:31:00Z</dcterms:modified>
</cp:coreProperties>
</file>