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726" w:rsidRDefault="002F3726" w:rsidP="002F3726">
      <w:pPr>
        <w:tabs>
          <w:tab w:val="center" w:pos="5040"/>
          <w:tab w:val="right" w:pos="9900"/>
        </w:tabs>
      </w:pPr>
      <w:r>
        <w:t xml:space="preserve"> </w:t>
      </w:r>
      <w:r>
        <w:tab/>
      </w:r>
      <w:r>
        <w:tab/>
      </w:r>
    </w:p>
    <w:p w:rsidR="002F3726" w:rsidRDefault="002F3726" w:rsidP="002F3726">
      <w:pPr>
        <w:jc w:val="center"/>
        <w:rPr>
          <w:rFonts w:cs="Arial"/>
          <w:b/>
          <w:sz w:val="28"/>
          <w:szCs w:val="28"/>
        </w:rPr>
      </w:pPr>
    </w:p>
    <w:p w:rsidR="002F3726" w:rsidRPr="002C3834" w:rsidRDefault="002F3726" w:rsidP="002F3726">
      <w:pPr>
        <w:jc w:val="center"/>
        <w:rPr>
          <w:rFonts w:cs="Arial"/>
          <w:b/>
          <w:sz w:val="28"/>
          <w:szCs w:val="28"/>
        </w:rPr>
      </w:pPr>
      <w:r>
        <w:rPr>
          <w:rFonts w:cs="Arial"/>
          <w:b/>
          <w:sz w:val="28"/>
          <w:szCs w:val="28"/>
        </w:rPr>
        <w:t xml:space="preserve">East Anglia </w:t>
      </w:r>
      <w:r w:rsidRPr="002C3834">
        <w:rPr>
          <w:rFonts w:cs="Arial"/>
          <w:b/>
          <w:sz w:val="28"/>
          <w:szCs w:val="28"/>
        </w:rPr>
        <w:t>Foundation School</w:t>
      </w:r>
    </w:p>
    <w:p w:rsidR="002F3726" w:rsidRDefault="002F3726" w:rsidP="002F3726">
      <w:pPr>
        <w:jc w:val="center"/>
        <w:rPr>
          <w:rFonts w:cs="Arial"/>
          <w:b/>
          <w:sz w:val="28"/>
          <w:szCs w:val="28"/>
        </w:rPr>
      </w:pPr>
      <w:r>
        <w:rPr>
          <w:rFonts w:cs="Arial"/>
          <w:b/>
          <w:sz w:val="28"/>
          <w:szCs w:val="28"/>
        </w:rPr>
        <w:t>Individual Placement</w:t>
      </w:r>
      <w:r w:rsidRPr="002C3834">
        <w:rPr>
          <w:rFonts w:cs="Arial"/>
          <w:b/>
          <w:sz w:val="28"/>
          <w:szCs w:val="28"/>
        </w:rPr>
        <w:t xml:space="preserve"> Description </w:t>
      </w:r>
    </w:p>
    <w:p w:rsidR="002F3726" w:rsidRDefault="002F3726" w:rsidP="002F3726">
      <w:pPr>
        <w:jc w:val="center"/>
        <w:rPr>
          <w:rFonts w:cs="Arial"/>
          <w:b/>
          <w:sz w:val="28"/>
          <w:szCs w:val="28"/>
        </w:rPr>
      </w:pPr>
    </w:p>
    <w:p w:rsidR="002F3726" w:rsidRPr="002C3834" w:rsidRDefault="002F3726" w:rsidP="002F3726">
      <w:pPr>
        <w:jc w:val="center"/>
        <w:rPr>
          <w:rFonts w:cs="Arial"/>
          <w:b/>
          <w:sz w:val="28"/>
          <w:szCs w:val="28"/>
        </w:rPr>
      </w:pPr>
      <w:r>
        <w:rPr>
          <w:rFonts w:cs="Arial"/>
          <w:b/>
          <w:sz w:val="28"/>
          <w:szCs w:val="28"/>
        </w:rPr>
        <w:t>Cambridge University Hospitals NHS Foundation Trust</w:t>
      </w:r>
    </w:p>
    <w:p w:rsidR="002F3726" w:rsidRDefault="002F3726" w:rsidP="002F3726">
      <w:pPr>
        <w:rPr>
          <w:rFonts w:cs="Arial"/>
          <w:b/>
          <w:sz w:val="22"/>
          <w:szCs w:val="22"/>
        </w:rPr>
      </w:pPr>
    </w:p>
    <w:p w:rsidR="002F3726" w:rsidRPr="0043462B" w:rsidRDefault="002F3726" w:rsidP="002F3726">
      <w:pPr>
        <w:rPr>
          <w:rFonts w:cs="Arial"/>
          <w:sz w:val="22"/>
          <w:szCs w:val="22"/>
        </w:rPr>
      </w:pPr>
      <w:proofErr w:type="gramStart"/>
      <w:r w:rsidRPr="0043462B">
        <w:rPr>
          <w:rFonts w:cs="Arial"/>
          <w:sz w:val="22"/>
          <w:szCs w:val="22"/>
        </w:rPr>
        <w:t>All information to be completed by</w:t>
      </w:r>
      <w:r>
        <w:rPr>
          <w:rFonts w:cs="Arial"/>
          <w:sz w:val="22"/>
          <w:szCs w:val="22"/>
        </w:rPr>
        <w:t xml:space="preserve"> the</w:t>
      </w:r>
      <w:r w:rsidRPr="0043462B">
        <w:rPr>
          <w:rFonts w:cs="Arial"/>
          <w:sz w:val="22"/>
          <w:szCs w:val="22"/>
        </w:rPr>
        <w:t xml:space="preserve"> Foundation School.</w:t>
      </w:r>
      <w:proofErr w:type="gramEnd"/>
    </w:p>
    <w:p w:rsidR="002F3726" w:rsidRDefault="002F3726" w:rsidP="002F3726">
      <w:pPr>
        <w:rPr>
          <w:rFonts w:cs="Arial"/>
          <w:b/>
          <w:sz w:val="22"/>
          <w:szCs w:val="22"/>
        </w:rPr>
      </w:pPr>
    </w:p>
    <w:tbl>
      <w:tblPr>
        <w:tblW w:w="8613" w:type="dxa"/>
        <w:tblLook w:val="01E0" w:firstRow="1" w:lastRow="1" w:firstColumn="1" w:lastColumn="1" w:noHBand="0" w:noVBand="0"/>
      </w:tblPr>
      <w:tblGrid>
        <w:gridCol w:w="3851"/>
        <w:gridCol w:w="4762"/>
      </w:tblGrid>
      <w:tr w:rsidR="002F3726" w:rsidRPr="004F4EE0" w:rsidTr="004B6555">
        <w:trPr>
          <w:trHeight w:val="144"/>
        </w:trPr>
        <w:tc>
          <w:tcPr>
            <w:tcW w:w="3851" w:type="dxa"/>
          </w:tcPr>
          <w:p w:rsidR="002F3726" w:rsidRPr="004F4EE0" w:rsidRDefault="002F3726" w:rsidP="004B6555">
            <w:pPr>
              <w:jc w:val="both"/>
              <w:rPr>
                <w:rFonts w:cs="Arial"/>
                <w:b/>
              </w:rPr>
            </w:pPr>
            <w:r>
              <w:rPr>
                <w:rFonts w:cs="Arial"/>
                <w:b/>
                <w:sz w:val="22"/>
                <w:szCs w:val="22"/>
              </w:rPr>
              <w:t>Placement</w:t>
            </w:r>
          </w:p>
        </w:tc>
        <w:tc>
          <w:tcPr>
            <w:tcW w:w="4762" w:type="dxa"/>
          </w:tcPr>
          <w:p w:rsidR="002F3726" w:rsidRPr="00F909C5" w:rsidRDefault="002F3726" w:rsidP="004B6555">
            <w:pPr>
              <w:jc w:val="both"/>
              <w:rPr>
                <w:rFonts w:cs="Arial"/>
              </w:rPr>
            </w:pPr>
            <w:r>
              <w:rPr>
                <w:rFonts w:cs="Arial"/>
              </w:rPr>
              <w:t>FY2 rotation in Neurosurgery (4 months); Neurology (4 months); Academic Neurosciences</w:t>
            </w:r>
          </w:p>
          <w:p w:rsidR="002F3726" w:rsidRPr="00F909C5" w:rsidRDefault="002F3726" w:rsidP="004B6555">
            <w:pPr>
              <w:jc w:val="both"/>
              <w:rPr>
                <w:rFonts w:cs="Arial"/>
              </w:rPr>
            </w:pPr>
          </w:p>
        </w:tc>
      </w:tr>
      <w:tr w:rsidR="002F3726" w:rsidRPr="004F4EE0" w:rsidTr="004B6555">
        <w:trPr>
          <w:trHeight w:val="144"/>
        </w:trPr>
        <w:tc>
          <w:tcPr>
            <w:tcW w:w="3851" w:type="dxa"/>
          </w:tcPr>
          <w:p w:rsidR="002F3726" w:rsidRDefault="002F3726" w:rsidP="004B6555">
            <w:pPr>
              <w:rPr>
                <w:rFonts w:cs="Arial"/>
                <w:b/>
              </w:rPr>
            </w:pPr>
            <w:r>
              <w:rPr>
                <w:rFonts w:cs="Arial"/>
                <w:b/>
                <w:sz w:val="22"/>
                <w:szCs w:val="22"/>
              </w:rPr>
              <w:t>The department</w:t>
            </w:r>
          </w:p>
        </w:tc>
        <w:tc>
          <w:tcPr>
            <w:tcW w:w="4762" w:type="dxa"/>
          </w:tcPr>
          <w:p w:rsidR="002F3726" w:rsidRPr="00893C75" w:rsidRDefault="002F3726" w:rsidP="004B6555">
            <w:pPr>
              <w:rPr>
                <w:rFonts w:cs="Arial"/>
              </w:rPr>
            </w:pPr>
            <w:r w:rsidRPr="00893C75">
              <w:rPr>
                <w:rFonts w:cs="Arial"/>
              </w:rPr>
              <w:t xml:space="preserve">Neuroscience in </w:t>
            </w:r>
            <w:proofErr w:type="spellStart"/>
            <w:r w:rsidRPr="00893C75">
              <w:rPr>
                <w:rFonts w:cs="Arial"/>
              </w:rPr>
              <w:t>Addenbrooke’s</w:t>
            </w:r>
            <w:proofErr w:type="spellEnd"/>
            <w:r w:rsidRPr="00893C75">
              <w:rPr>
                <w:rFonts w:cs="Arial"/>
              </w:rPr>
              <w:t xml:space="preserve"> Hospital enjoys a long and formidable academic history. The recently established Department of Clinical Neurosciences comprises Neurology, Neurosurgery and the Centre Cambridge for Brain Repair. From the clinical perspective both the Neurology and Neurosurgery are leading academic units with international reputations.</w:t>
            </w:r>
          </w:p>
          <w:p w:rsidR="002F3726" w:rsidRPr="00893C75" w:rsidRDefault="002F3726" w:rsidP="004B6555">
            <w:pPr>
              <w:rPr>
                <w:rFonts w:cs="Arial"/>
              </w:rPr>
            </w:pPr>
          </w:p>
          <w:p w:rsidR="002F3726" w:rsidRPr="00893C75" w:rsidRDefault="002F3726" w:rsidP="004B6555">
            <w:pPr>
              <w:rPr>
                <w:rFonts w:cs="Arial"/>
              </w:rPr>
            </w:pPr>
            <w:r w:rsidRPr="00893C75">
              <w:rPr>
                <w:rFonts w:cs="Arial"/>
              </w:rPr>
              <w:t>In Neurology, areas of clinical research expertise include the academic “memory clinic” supporting a sustained programme of clinical, neuropsychological, pathological and molecular biological research into the dementias. The MS research group produced the first genome screen of multiple sclerosis and has pioneered novel monoclonal antibody treatments. There is an active programme of stem cell transplantation in Huntington’s disease and plans for a trial of bone-marrow-derived stem cells in multiple sclerosis. These projects are supported by laboratory research in the neurology department and in the Clinical Neurosciences Centre for Brain Repair.</w:t>
            </w:r>
          </w:p>
          <w:p w:rsidR="002D6A01" w:rsidRDefault="002F3726" w:rsidP="004B6555">
            <w:pPr>
              <w:rPr>
                <w:rFonts w:cs="Arial"/>
              </w:rPr>
            </w:pPr>
            <w:r w:rsidRPr="00893C75">
              <w:rPr>
                <w:rFonts w:cs="Arial"/>
              </w:rPr>
              <w:t xml:space="preserve">In Neurosurgery, research into neurovascular disorders, traumatic brain injury, hydrocephalus, brain tumours and spinal disorders complements a wide ranging clinical practice which includes both adults and children. </w:t>
            </w:r>
          </w:p>
          <w:p w:rsidR="002D6A01" w:rsidRDefault="002D6A01" w:rsidP="004B6555">
            <w:pPr>
              <w:rPr>
                <w:rFonts w:cs="Arial"/>
              </w:rPr>
            </w:pPr>
          </w:p>
          <w:p w:rsidR="002F3726" w:rsidRPr="00F909C5" w:rsidRDefault="002F3726" w:rsidP="004B6555">
            <w:pPr>
              <w:rPr>
                <w:rFonts w:cs="Arial"/>
              </w:rPr>
            </w:pPr>
            <w:r w:rsidRPr="00893C75">
              <w:rPr>
                <w:rFonts w:cs="Arial"/>
              </w:rPr>
              <w:lastRenderedPageBreak/>
              <w:t xml:space="preserve">Current projects include the application of advanced cerebral imaging (MRI, </w:t>
            </w:r>
            <w:proofErr w:type="spellStart"/>
            <w:r w:rsidRPr="00893C75">
              <w:rPr>
                <w:rFonts w:cs="Arial"/>
              </w:rPr>
              <w:t>XeCT</w:t>
            </w:r>
            <w:proofErr w:type="spellEnd"/>
            <w:r w:rsidRPr="00893C75">
              <w:rPr>
                <w:rFonts w:cs="Arial"/>
              </w:rPr>
              <w:t xml:space="preserve">, PET and 3D CT) and multimodality monitoring (e.g. intracranial pressure, </w:t>
            </w:r>
            <w:proofErr w:type="spellStart"/>
            <w:r w:rsidRPr="00893C75">
              <w:rPr>
                <w:rFonts w:cs="Arial"/>
              </w:rPr>
              <w:t>microdialysis</w:t>
            </w:r>
            <w:proofErr w:type="spellEnd"/>
            <w:r w:rsidRPr="00893C75">
              <w:rPr>
                <w:rFonts w:cs="Arial"/>
              </w:rPr>
              <w:t>, brain oximetry, transcranial Doppler, near-infrared spectroscopy These methods are used to evaluate head injury, stroke, brain tumours and other cerebral disorders.</w:t>
            </w:r>
          </w:p>
          <w:p w:rsidR="002F3726" w:rsidRPr="00F909C5" w:rsidRDefault="002F3726" w:rsidP="004B6555">
            <w:pPr>
              <w:rPr>
                <w:rFonts w:cs="Arial"/>
              </w:rPr>
            </w:pPr>
          </w:p>
        </w:tc>
      </w:tr>
      <w:tr w:rsidR="002F3726" w:rsidRPr="004F4EE0" w:rsidTr="004B6555">
        <w:trPr>
          <w:trHeight w:val="144"/>
        </w:trPr>
        <w:tc>
          <w:tcPr>
            <w:tcW w:w="3851" w:type="dxa"/>
          </w:tcPr>
          <w:p w:rsidR="002F3726" w:rsidRPr="00047073" w:rsidRDefault="002F3726" w:rsidP="004B6555">
            <w:pPr>
              <w:rPr>
                <w:rFonts w:cs="Arial"/>
                <w:b/>
              </w:rPr>
            </w:pPr>
            <w:r>
              <w:rPr>
                <w:rFonts w:cs="Arial"/>
                <w:b/>
                <w:sz w:val="22"/>
                <w:szCs w:val="22"/>
              </w:rPr>
              <w:lastRenderedPageBreak/>
              <w:t>The type of work to expect and learning opportunities</w:t>
            </w:r>
          </w:p>
        </w:tc>
        <w:tc>
          <w:tcPr>
            <w:tcW w:w="4762" w:type="dxa"/>
          </w:tcPr>
          <w:p w:rsidR="002F3726" w:rsidRPr="00F909C5" w:rsidRDefault="002F3726" w:rsidP="004B6555">
            <w:pPr>
              <w:rPr>
                <w:rFonts w:cs="Arial"/>
              </w:rPr>
            </w:pPr>
            <w:r w:rsidRPr="00893C75">
              <w:rPr>
                <w:rFonts w:cs="Arial"/>
              </w:rPr>
              <w:t>A Foundation Year Academic rotation in Neurosciences provides a trainee with the opportunity to combine clinical practice with superb exposure to research methodology in practice, encompassing both laboratory and clinical research. Both Neurology and Neurosurgery have a large clinical workload, treating a wide range of acute and chronic neurological disease. The core competencies of Foundation Year will be easily met with the large element of acute emergency work.</w:t>
            </w:r>
          </w:p>
          <w:p w:rsidR="002F3726" w:rsidRPr="00F909C5" w:rsidRDefault="002F3726" w:rsidP="004B6555">
            <w:pPr>
              <w:rPr>
                <w:rFonts w:cs="Arial"/>
              </w:rPr>
            </w:pPr>
          </w:p>
        </w:tc>
      </w:tr>
      <w:tr w:rsidR="002F3726" w:rsidRPr="004F4EE0" w:rsidTr="004B6555">
        <w:trPr>
          <w:trHeight w:val="144"/>
        </w:trPr>
        <w:tc>
          <w:tcPr>
            <w:tcW w:w="3851" w:type="dxa"/>
          </w:tcPr>
          <w:p w:rsidR="002F3726" w:rsidRPr="004F4EE0" w:rsidRDefault="002F3726" w:rsidP="004B6555">
            <w:pPr>
              <w:jc w:val="both"/>
              <w:rPr>
                <w:rFonts w:cs="Arial"/>
                <w:b/>
              </w:rPr>
            </w:pPr>
            <w:r>
              <w:rPr>
                <w:rFonts w:cs="Arial"/>
                <w:b/>
                <w:sz w:val="22"/>
                <w:szCs w:val="22"/>
              </w:rPr>
              <w:t>Where the placement is based</w:t>
            </w:r>
          </w:p>
        </w:tc>
        <w:tc>
          <w:tcPr>
            <w:tcW w:w="4762" w:type="dxa"/>
          </w:tcPr>
          <w:p w:rsidR="002F3726" w:rsidRPr="00F909C5" w:rsidRDefault="002F3726" w:rsidP="004B6555">
            <w:pPr>
              <w:jc w:val="both"/>
              <w:rPr>
                <w:rFonts w:cs="Arial"/>
              </w:rPr>
            </w:pPr>
            <w:r>
              <w:rPr>
                <w:rFonts w:cs="Arial"/>
              </w:rPr>
              <w:t>Department of Clinical Neurosciences</w:t>
            </w:r>
          </w:p>
          <w:p w:rsidR="002F3726" w:rsidRPr="00F909C5" w:rsidRDefault="002F3726" w:rsidP="004B6555">
            <w:pPr>
              <w:jc w:val="both"/>
              <w:rPr>
                <w:rFonts w:cs="Arial"/>
              </w:rPr>
            </w:pPr>
          </w:p>
        </w:tc>
      </w:tr>
      <w:tr w:rsidR="002F3726" w:rsidRPr="004F4EE0" w:rsidTr="004B6555">
        <w:trPr>
          <w:trHeight w:val="144"/>
        </w:trPr>
        <w:tc>
          <w:tcPr>
            <w:tcW w:w="3851" w:type="dxa"/>
          </w:tcPr>
          <w:p w:rsidR="002F3726" w:rsidRDefault="002F3726" w:rsidP="004B6555">
            <w:pPr>
              <w:jc w:val="both"/>
              <w:rPr>
                <w:rFonts w:cs="Arial"/>
                <w:b/>
              </w:rPr>
            </w:pPr>
            <w:r>
              <w:rPr>
                <w:rFonts w:cs="Arial"/>
                <w:b/>
                <w:sz w:val="22"/>
                <w:szCs w:val="22"/>
              </w:rPr>
              <w:t>Clinical Supervisor(s) for the placement</w:t>
            </w:r>
          </w:p>
        </w:tc>
        <w:tc>
          <w:tcPr>
            <w:tcW w:w="4762" w:type="dxa"/>
          </w:tcPr>
          <w:p w:rsidR="002F3726" w:rsidRDefault="002F3726" w:rsidP="004B6555">
            <w:pPr>
              <w:jc w:val="both"/>
              <w:rPr>
                <w:rFonts w:cs="Arial"/>
              </w:rPr>
            </w:pPr>
            <w:r w:rsidRPr="00893C75">
              <w:rPr>
                <w:rFonts w:cs="Arial"/>
                <w:szCs w:val="22"/>
              </w:rPr>
              <w:t xml:space="preserve">Each trainee will have an academic mentor: Neurosurgery: Mr Stephen Price, Peter Kirkpatrick, Mr Colin Watts, Mr Peter Hutchinson, Neurology: Dr Alasdair Coles, </w:t>
            </w:r>
            <w:r>
              <w:rPr>
                <w:rFonts w:cs="Arial"/>
                <w:szCs w:val="22"/>
              </w:rPr>
              <w:t>Prof</w:t>
            </w:r>
            <w:r w:rsidRPr="00893C75">
              <w:rPr>
                <w:rFonts w:cs="Arial"/>
                <w:szCs w:val="22"/>
              </w:rPr>
              <w:t xml:space="preserve"> Stephen </w:t>
            </w:r>
            <w:proofErr w:type="spellStart"/>
            <w:r w:rsidRPr="00893C75">
              <w:rPr>
                <w:rFonts w:cs="Arial"/>
                <w:szCs w:val="22"/>
              </w:rPr>
              <w:t>Sawcer</w:t>
            </w:r>
            <w:proofErr w:type="spellEnd"/>
            <w:r w:rsidRPr="00893C75">
              <w:rPr>
                <w:rFonts w:cs="Arial"/>
                <w:szCs w:val="22"/>
              </w:rPr>
              <w:t xml:space="preserve">, </w:t>
            </w:r>
            <w:r>
              <w:rPr>
                <w:rFonts w:cs="Arial"/>
                <w:szCs w:val="22"/>
              </w:rPr>
              <w:t>Prof</w:t>
            </w:r>
            <w:r w:rsidRPr="00893C75">
              <w:rPr>
                <w:rFonts w:cs="Arial"/>
                <w:szCs w:val="22"/>
              </w:rPr>
              <w:t xml:space="preserve"> Roger </w:t>
            </w:r>
            <w:proofErr w:type="gramStart"/>
            <w:r w:rsidRPr="00893C75">
              <w:rPr>
                <w:rFonts w:cs="Arial"/>
                <w:szCs w:val="22"/>
              </w:rPr>
              <w:t xml:space="preserve">Barker </w:t>
            </w:r>
            <w:r>
              <w:rPr>
                <w:rFonts w:cs="Arial"/>
                <w:sz w:val="22"/>
                <w:szCs w:val="22"/>
              </w:rPr>
              <w:t>.</w:t>
            </w:r>
            <w:proofErr w:type="gramEnd"/>
          </w:p>
          <w:p w:rsidR="002F3726" w:rsidRPr="00F909C5" w:rsidRDefault="002F3726" w:rsidP="004B6555">
            <w:pPr>
              <w:jc w:val="both"/>
              <w:rPr>
                <w:rFonts w:cs="Arial"/>
              </w:rPr>
            </w:pPr>
          </w:p>
        </w:tc>
      </w:tr>
      <w:tr w:rsidR="002F3726" w:rsidRPr="004F4EE0" w:rsidTr="004B6555">
        <w:trPr>
          <w:trHeight w:val="144"/>
        </w:trPr>
        <w:tc>
          <w:tcPr>
            <w:tcW w:w="3851" w:type="dxa"/>
          </w:tcPr>
          <w:p w:rsidR="002F3726" w:rsidRDefault="002F3726" w:rsidP="004B6555">
            <w:pPr>
              <w:rPr>
                <w:rFonts w:cs="Arial"/>
                <w:b/>
              </w:rPr>
            </w:pPr>
            <w:r>
              <w:rPr>
                <w:rFonts w:cs="Arial"/>
                <w:b/>
                <w:sz w:val="22"/>
                <w:szCs w:val="22"/>
              </w:rPr>
              <w:t>Main duties of the placement</w:t>
            </w:r>
          </w:p>
        </w:tc>
        <w:tc>
          <w:tcPr>
            <w:tcW w:w="4762" w:type="dxa"/>
          </w:tcPr>
          <w:p w:rsidR="002F3726" w:rsidRPr="00F909C5" w:rsidRDefault="002F3726" w:rsidP="002D6A01">
            <w:pPr>
              <w:rPr>
                <w:rFonts w:cs="Arial"/>
              </w:rPr>
            </w:pPr>
            <w:r w:rsidRPr="008B30DA">
              <w:rPr>
                <w:rFonts w:cs="Arial"/>
                <w:szCs w:val="22"/>
              </w:rPr>
              <w:t>4 month placements divided between Neurology, Neurosurgery and Academic Neuro. Care of in patients in the ward is the main clinical duty. (No regular theatre work when doing Neurosurgery unless desired).</w:t>
            </w:r>
          </w:p>
        </w:tc>
      </w:tr>
      <w:tr w:rsidR="002F3726" w:rsidRPr="004F4EE0" w:rsidTr="004B6555">
        <w:trPr>
          <w:trHeight w:val="144"/>
        </w:trPr>
        <w:tc>
          <w:tcPr>
            <w:tcW w:w="3851" w:type="dxa"/>
          </w:tcPr>
          <w:p w:rsidR="002F3726" w:rsidRDefault="002F3726" w:rsidP="004B6555">
            <w:pPr>
              <w:jc w:val="both"/>
              <w:rPr>
                <w:rFonts w:cs="Arial"/>
                <w:b/>
              </w:rPr>
            </w:pPr>
            <w:r>
              <w:rPr>
                <w:rFonts w:cs="Arial"/>
                <w:b/>
                <w:sz w:val="22"/>
                <w:szCs w:val="22"/>
              </w:rPr>
              <w:t>Typical working pattern in this placement</w:t>
            </w:r>
          </w:p>
        </w:tc>
        <w:tc>
          <w:tcPr>
            <w:tcW w:w="4762" w:type="dxa"/>
          </w:tcPr>
          <w:p w:rsidR="002D6A01" w:rsidRPr="002D6A01" w:rsidRDefault="002F3726" w:rsidP="002D6A01">
            <w:pPr>
              <w:rPr>
                <w:rFonts w:cs="Arial"/>
                <w:szCs w:val="22"/>
              </w:rPr>
            </w:pPr>
            <w:r w:rsidRPr="008B30DA">
              <w:rPr>
                <w:rFonts w:cs="Arial"/>
                <w:szCs w:val="22"/>
              </w:rPr>
              <w:t xml:space="preserve">Neurosurgery   Daily ward rounds and </w:t>
            </w:r>
            <w:r>
              <w:rPr>
                <w:rFonts w:cs="Arial"/>
                <w:szCs w:val="22"/>
              </w:rPr>
              <w:t>pre-admission/day case assessment on ward A3</w:t>
            </w:r>
            <w:r w:rsidRPr="008B30DA">
              <w:rPr>
                <w:rFonts w:cs="Arial"/>
                <w:szCs w:val="22"/>
              </w:rPr>
              <w:t>.</w:t>
            </w:r>
            <w:r w:rsidR="002D6A01">
              <w:rPr>
                <w:rFonts w:cs="Arial"/>
                <w:szCs w:val="22"/>
              </w:rPr>
              <w:t xml:space="preserve"> </w:t>
            </w:r>
            <w:r w:rsidRPr="008B30DA">
              <w:rPr>
                <w:rFonts w:cs="Arial"/>
                <w:szCs w:val="22"/>
              </w:rPr>
              <w:t xml:space="preserve">Neurology - 5 Consultant ward rounds per week and care of day </w:t>
            </w:r>
            <w:proofErr w:type="spellStart"/>
            <w:r w:rsidRPr="008B30DA">
              <w:rPr>
                <w:rFonts w:cs="Arial"/>
                <w:szCs w:val="22"/>
              </w:rPr>
              <w:t>case</w:t>
            </w:r>
            <w:proofErr w:type="spellEnd"/>
            <w:r w:rsidRPr="008B30DA">
              <w:rPr>
                <w:rFonts w:cs="Arial"/>
                <w:szCs w:val="22"/>
              </w:rPr>
              <w:t xml:space="preserve"> patients on ward </w:t>
            </w:r>
            <w:r>
              <w:rPr>
                <w:rFonts w:cs="Arial"/>
                <w:szCs w:val="22"/>
              </w:rPr>
              <w:t>A3.</w:t>
            </w:r>
            <w:r w:rsidR="002D6A01">
              <w:rPr>
                <w:rFonts w:cs="Arial"/>
                <w:szCs w:val="22"/>
              </w:rPr>
              <w:t xml:space="preserve"> </w:t>
            </w:r>
            <w:r>
              <w:rPr>
                <w:rFonts w:cs="Arial"/>
                <w:szCs w:val="22"/>
              </w:rPr>
              <w:t>On-call involves a hybrid shift system.</w:t>
            </w:r>
          </w:p>
        </w:tc>
      </w:tr>
      <w:tr w:rsidR="002F3726" w:rsidRPr="004F4EE0" w:rsidTr="004B6555">
        <w:trPr>
          <w:trHeight w:val="144"/>
        </w:trPr>
        <w:tc>
          <w:tcPr>
            <w:tcW w:w="3851" w:type="dxa"/>
          </w:tcPr>
          <w:p w:rsidR="002F3726" w:rsidRPr="00C70B03" w:rsidRDefault="002F3726" w:rsidP="004B6555">
            <w:pPr>
              <w:rPr>
                <w:rFonts w:cs="Arial"/>
                <w:b/>
              </w:rPr>
            </w:pPr>
            <w:r>
              <w:rPr>
                <w:rFonts w:cs="Arial"/>
                <w:b/>
                <w:sz w:val="22"/>
                <w:szCs w:val="22"/>
              </w:rPr>
              <w:t>Employer information</w:t>
            </w:r>
          </w:p>
        </w:tc>
        <w:tc>
          <w:tcPr>
            <w:tcW w:w="4762" w:type="dxa"/>
          </w:tcPr>
          <w:p w:rsidR="002F3726" w:rsidRPr="00F909C5" w:rsidRDefault="002F3726" w:rsidP="004B6555">
            <w:pPr>
              <w:pStyle w:val="BodyText"/>
              <w:rPr>
                <w:rFonts w:ascii="Arial" w:hAnsi="Arial" w:cs="Arial"/>
                <w:szCs w:val="22"/>
              </w:rPr>
            </w:pPr>
          </w:p>
          <w:p w:rsidR="002F3726" w:rsidRPr="00F909C5" w:rsidRDefault="002F3726" w:rsidP="004B6555">
            <w:pPr>
              <w:pStyle w:val="BodyText"/>
              <w:rPr>
                <w:rFonts w:ascii="Arial" w:hAnsi="Arial" w:cs="Arial"/>
                <w:szCs w:val="22"/>
              </w:rPr>
            </w:pPr>
          </w:p>
        </w:tc>
      </w:tr>
    </w:tbl>
    <w:p w:rsidR="002F3726" w:rsidRDefault="002F3726" w:rsidP="002F3726">
      <w:pPr>
        <w:rPr>
          <w:rFonts w:cs="Arial"/>
          <w:sz w:val="22"/>
          <w:szCs w:val="22"/>
        </w:rPr>
      </w:pPr>
    </w:p>
    <w:p w:rsidR="002F3726" w:rsidRPr="000127C0" w:rsidRDefault="002F3726" w:rsidP="002F3726">
      <w:pPr>
        <w:rPr>
          <w:rFonts w:cs="Arial"/>
          <w:sz w:val="22"/>
          <w:szCs w:val="22"/>
        </w:rPr>
      </w:pPr>
      <w:r>
        <w:rPr>
          <w:rFonts w:cs="Arial"/>
          <w:sz w:val="22"/>
          <w:szCs w:val="22"/>
        </w:rPr>
        <w:t>It is important to note that this description is a typical example of your placement and may be subject to change.</w:t>
      </w:r>
    </w:p>
    <w:p w:rsidR="002F3726" w:rsidRDefault="002F3726" w:rsidP="002F3726"/>
    <w:p w:rsidR="002F3726" w:rsidRDefault="002F3726" w:rsidP="002F3726">
      <w:pPr>
        <w:tabs>
          <w:tab w:val="left" w:pos="900"/>
        </w:tabs>
        <w:jc w:val="both"/>
        <w:rPr>
          <w:rFonts w:cs="Arial"/>
          <w:b/>
          <w:sz w:val="22"/>
          <w:szCs w:val="22"/>
        </w:rPr>
      </w:pPr>
      <w:r>
        <w:rPr>
          <w:rFonts w:cs="Arial"/>
          <w:b/>
          <w:sz w:val="22"/>
          <w:szCs w:val="22"/>
        </w:rPr>
        <w:lastRenderedPageBreak/>
        <w:t>Appendix F</w:t>
      </w:r>
      <w:r w:rsidRPr="00590B13">
        <w:rPr>
          <w:rFonts w:cs="Arial"/>
          <w:b/>
          <w:sz w:val="22"/>
          <w:szCs w:val="22"/>
        </w:rPr>
        <w:t xml:space="preserve"> </w:t>
      </w:r>
      <w:r>
        <w:rPr>
          <w:rFonts w:cs="Arial"/>
          <w:b/>
          <w:sz w:val="22"/>
          <w:szCs w:val="22"/>
        </w:rPr>
        <w:t>–</w:t>
      </w:r>
      <w:r w:rsidRPr="00590B13">
        <w:rPr>
          <w:rFonts w:cs="Arial"/>
          <w:b/>
          <w:sz w:val="22"/>
          <w:szCs w:val="22"/>
        </w:rPr>
        <w:t xml:space="preserve"> </w:t>
      </w:r>
      <w:r w:rsidRPr="0038557A">
        <w:rPr>
          <w:rFonts w:cs="Arial"/>
          <w:b/>
          <w:sz w:val="22"/>
          <w:szCs w:val="22"/>
        </w:rPr>
        <w:t>Individual placement description (Example)</w:t>
      </w:r>
    </w:p>
    <w:p w:rsidR="002F3726" w:rsidRDefault="002F3726" w:rsidP="002D6A01">
      <w:pPr>
        <w:tabs>
          <w:tab w:val="center" w:pos="5040"/>
          <w:tab w:val="right" w:pos="9900"/>
        </w:tabs>
        <w:jc w:val="both"/>
        <w:rPr>
          <w:rFonts w:cs="Arial"/>
          <w:b/>
          <w:sz w:val="28"/>
          <w:szCs w:val="28"/>
        </w:rPr>
      </w:pPr>
      <w:r>
        <w:tab/>
      </w:r>
      <w:bookmarkStart w:id="0" w:name="_GoBack"/>
      <w:bookmarkEnd w:id="0"/>
    </w:p>
    <w:p w:rsidR="002F3726" w:rsidRPr="00EB538A" w:rsidRDefault="002F3726" w:rsidP="002F3726">
      <w:pPr>
        <w:jc w:val="center"/>
        <w:rPr>
          <w:rFonts w:cs="Arial"/>
          <w:b/>
          <w:sz w:val="28"/>
          <w:szCs w:val="28"/>
        </w:rPr>
      </w:pPr>
      <w:r>
        <w:rPr>
          <w:rFonts w:cs="Arial"/>
          <w:b/>
          <w:sz w:val="28"/>
          <w:szCs w:val="28"/>
        </w:rPr>
        <w:t xml:space="preserve">South Standard </w:t>
      </w:r>
      <w:r w:rsidRPr="00EB538A">
        <w:rPr>
          <w:rFonts w:cs="Arial"/>
          <w:b/>
          <w:sz w:val="28"/>
          <w:szCs w:val="28"/>
        </w:rPr>
        <w:t>Foundation School</w:t>
      </w:r>
    </w:p>
    <w:p w:rsidR="002F3726" w:rsidRDefault="002F3726" w:rsidP="002F3726">
      <w:pPr>
        <w:jc w:val="center"/>
        <w:rPr>
          <w:rFonts w:cs="Arial"/>
          <w:b/>
          <w:sz w:val="28"/>
          <w:szCs w:val="28"/>
        </w:rPr>
      </w:pPr>
      <w:r>
        <w:rPr>
          <w:rFonts w:cs="Arial"/>
          <w:b/>
          <w:sz w:val="28"/>
          <w:szCs w:val="28"/>
        </w:rPr>
        <w:t>Individual Placement</w:t>
      </w:r>
      <w:r w:rsidRPr="00EB538A">
        <w:rPr>
          <w:rFonts w:cs="Arial"/>
          <w:b/>
          <w:sz w:val="28"/>
          <w:szCs w:val="28"/>
        </w:rPr>
        <w:t xml:space="preserve"> Description </w:t>
      </w:r>
    </w:p>
    <w:p w:rsidR="002F3726" w:rsidRDefault="002F3726" w:rsidP="002F3726">
      <w:pPr>
        <w:rPr>
          <w:rFonts w:cs="Arial"/>
          <w:sz w:val="22"/>
          <w:szCs w:val="22"/>
        </w:rPr>
      </w:pPr>
    </w:p>
    <w:p w:rsidR="002F3726" w:rsidRPr="0043462B" w:rsidRDefault="002F3726" w:rsidP="002F3726">
      <w:pPr>
        <w:rPr>
          <w:rFonts w:cs="Arial"/>
          <w:sz w:val="22"/>
          <w:szCs w:val="22"/>
        </w:rPr>
      </w:pPr>
      <w:proofErr w:type="gramStart"/>
      <w:r w:rsidRPr="0043462B">
        <w:rPr>
          <w:rFonts w:cs="Arial"/>
          <w:sz w:val="22"/>
          <w:szCs w:val="22"/>
        </w:rPr>
        <w:t xml:space="preserve">All information to be completed by </w:t>
      </w:r>
      <w:r>
        <w:rPr>
          <w:rFonts w:cs="Arial"/>
          <w:sz w:val="22"/>
          <w:szCs w:val="22"/>
        </w:rPr>
        <w:t xml:space="preserve">the </w:t>
      </w:r>
      <w:r w:rsidRPr="0043462B">
        <w:rPr>
          <w:rFonts w:cs="Arial"/>
          <w:sz w:val="22"/>
          <w:szCs w:val="22"/>
        </w:rPr>
        <w:t>Foundation School.</w:t>
      </w:r>
      <w:proofErr w:type="gramEnd"/>
    </w:p>
    <w:p w:rsidR="002F3726" w:rsidRPr="00EB538A" w:rsidRDefault="002F3726" w:rsidP="002F3726">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2F3726" w:rsidRPr="004F4EE0" w:rsidTr="004B6555">
        <w:trPr>
          <w:trHeight w:val="144"/>
        </w:trPr>
        <w:tc>
          <w:tcPr>
            <w:tcW w:w="3540" w:type="dxa"/>
          </w:tcPr>
          <w:p w:rsidR="002F3726" w:rsidRPr="004F4EE0" w:rsidRDefault="002F3726" w:rsidP="004B6555">
            <w:pPr>
              <w:jc w:val="both"/>
              <w:rPr>
                <w:rFonts w:cs="Arial"/>
                <w:b/>
              </w:rPr>
            </w:pPr>
            <w:r>
              <w:rPr>
                <w:rFonts w:cs="Arial"/>
                <w:b/>
                <w:sz w:val="22"/>
                <w:szCs w:val="22"/>
              </w:rPr>
              <w:t>Placement</w:t>
            </w:r>
          </w:p>
        </w:tc>
        <w:tc>
          <w:tcPr>
            <w:tcW w:w="4988" w:type="dxa"/>
          </w:tcPr>
          <w:p w:rsidR="002F3726" w:rsidRPr="00511065" w:rsidRDefault="002F3726" w:rsidP="004B6555">
            <w:pPr>
              <w:jc w:val="both"/>
              <w:rPr>
                <w:rFonts w:cs="Arial"/>
              </w:rPr>
            </w:pPr>
            <w:proofErr w:type="gramStart"/>
            <w:r>
              <w:rPr>
                <w:rFonts w:cs="Arial"/>
                <w:sz w:val="22"/>
                <w:szCs w:val="22"/>
              </w:rPr>
              <w:t xml:space="preserve">F2  </w:t>
            </w:r>
            <w:r w:rsidRPr="004F4EE0">
              <w:rPr>
                <w:rFonts w:cs="Arial"/>
                <w:sz w:val="22"/>
                <w:szCs w:val="22"/>
              </w:rPr>
              <w:t>Acute</w:t>
            </w:r>
            <w:proofErr w:type="gramEnd"/>
            <w:r w:rsidRPr="004F4EE0">
              <w:rPr>
                <w:rFonts w:cs="Arial"/>
                <w:sz w:val="22"/>
                <w:szCs w:val="22"/>
              </w:rPr>
              <w:t xml:space="preserve"> paediatrics and neonates</w:t>
            </w:r>
            <w:r>
              <w:rPr>
                <w:rFonts w:cs="Arial"/>
                <w:sz w:val="22"/>
                <w:szCs w:val="22"/>
              </w:rPr>
              <w:t>.</w:t>
            </w:r>
          </w:p>
        </w:tc>
      </w:tr>
      <w:tr w:rsidR="002F3726" w:rsidRPr="004F4EE0" w:rsidTr="004B6555">
        <w:trPr>
          <w:trHeight w:val="144"/>
        </w:trPr>
        <w:tc>
          <w:tcPr>
            <w:tcW w:w="3540" w:type="dxa"/>
          </w:tcPr>
          <w:p w:rsidR="002F3726" w:rsidRDefault="002F3726" w:rsidP="004B6555">
            <w:pPr>
              <w:rPr>
                <w:rFonts w:cs="Arial"/>
                <w:b/>
              </w:rPr>
            </w:pPr>
            <w:r>
              <w:rPr>
                <w:rFonts w:cs="Arial"/>
                <w:b/>
                <w:sz w:val="22"/>
                <w:szCs w:val="22"/>
              </w:rPr>
              <w:t>The department</w:t>
            </w:r>
          </w:p>
        </w:tc>
        <w:tc>
          <w:tcPr>
            <w:tcW w:w="4988" w:type="dxa"/>
          </w:tcPr>
          <w:p w:rsidR="002F3726" w:rsidRDefault="002F3726" w:rsidP="004B6555">
            <w:pPr>
              <w:jc w:val="both"/>
              <w:rPr>
                <w:rFonts w:cs="Arial"/>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w:t>
            </w:r>
            <w:r w:rsidRPr="004F4EE0">
              <w:rPr>
                <w:rFonts w:cs="Arial"/>
                <w:sz w:val="22"/>
                <w:szCs w:val="22"/>
              </w:rPr>
              <w:t xml:space="preserve">aediatrics comprises 5 Consultant paediatricians of whom 4 do acute General paediatric and neonatal on-call. There are interests in Epilepsy. Allergy, Asthma, Diabetes.  </w:t>
            </w:r>
            <w:r>
              <w:rPr>
                <w:rFonts w:cs="Arial"/>
                <w:sz w:val="22"/>
                <w:szCs w:val="22"/>
              </w:rPr>
              <w:t>A</w:t>
            </w:r>
            <w:r w:rsidRPr="004F4EE0">
              <w:rPr>
                <w:rFonts w:cs="Arial"/>
                <w:sz w:val="22"/>
                <w:szCs w:val="22"/>
              </w:rPr>
              <w:t xml:space="preserve">ll </w:t>
            </w:r>
            <w:proofErr w:type="spellStart"/>
            <w:r w:rsidRPr="004F4EE0">
              <w:rPr>
                <w:rFonts w:cs="Arial"/>
                <w:sz w:val="22"/>
                <w:szCs w:val="22"/>
              </w:rPr>
              <w:t>pediatric</w:t>
            </w:r>
            <w:proofErr w:type="spellEnd"/>
            <w:r w:rsidRPr="004F4EE0">
              <w:rPr>
                <w:rFonts w:cs="Arial"/>
                <w:sz w:val="22"/>
                <w:szCs w:val="22"/>
              </w:rPr>
              <w:t xml:space="preserve"> and neonatal pathology is represented </w:t>
            </w:r>
          </w:p>
          <w:p w:rsidR="002F3726" w:rsidRDefault="002F3726" w:rsidP="004B6555">
            <w:pPr>
              <w:jc w:val="both"/>
              <w:rPr>
                <w:rFonts w:cs="Arial"/>
              </w:rPr>
            </w:pPr>
            <w:r w:rsidRPr="004F4EE0">
              <w:rPr>
                <w:rFonts w:cs="Arial"/>
                <w:sz w:val="22"/>
                <w:szCs w:val="22"/>
              </w:rPr>
              <w:t xml:space="preserve">The department serves South </w:t>
            </w:r>
            <w:proofErr w:type="spellStart"/>
            <w:r>
              <w:rPr>
                <w:rFonts w:cs="Arial"/>
                <w:sz w:val="22"/>
                <w:szCs w:val="22"/>
              </w:rPr>
              <w:t>Exampleshire</w:t>
            </w:r>
            <w:proofErr w:type="spellEnd"/>
            <w:r w:rsidRPr="004F4EE0">
              <w:rPr>
                <w:rFonts w:cs="Arial"/>
                <w:sz w:val="22"/>
                <w:szCs w:val="22"/>
              </w:rPr>
              <w:t xml:space="preserve"> with a catchment population of 150,000.</w:t>
            </w:r>
          </w:p>
          <w:p w:rsidR="002F3726" w:rsidRPr="004F4EE0" w:rsidRDefault="002F3726" w:rsidP="004B6555">
            <w:pPr>
              <w:jc w:val="both"/>
              <w:rPr>
                <w:rFonts w:cs="Arial"/>
              </w:rPr>
            </w:pPr>
            <w:r w:rsidRPr="004F4EE0">
              <w:rPr>
                <w:rFonts w:cs="Arial"/>
                <w:sz w:val="22"/>
                <w:szCs w:val="22"/>
              </w:rPr>
              <w:t xml:space="preserve">The department is closely linked with tertiary services in </w:t>
            </w:r>
            <w:proofErr w:type="spellStart"/>
            <w:r>
              <w:rPr>
                <w:rFonts w:cs="Arial"/>
                <w:sz w:val="22"/>
                <w:szCs w:val="22"/>
              </w:rPr>
              <w:t>Canchester</w:t>
            </w:r>
            <w:proofErr w:type="spellEnd"/>
            <w:r w:rsidRPr="004F4EE0">
              <w:rPr>
                <w:rFonts w:cs="Arial"/>
                <w:sz w:val="22"/>
                <w:szCs w:val="22"/>
              </w:rPr>
              <w:t xml:space="preserve"> and </w:t>
            </w:r>
            <w:proofErr w:type="spellStart"/>
            <w:r>
              <w:rPr>
                <w:rFonts w:cs="Arial"/>
                <w:sz w:val="22"/>
                <w:szCs w:val="22"/>
              </w:rPr>
              <w:t>Smitherton</w:t>
            </w:r>
            <w:proofErr w:type="spellEnd"/>
            <w:r w:rsidRPr="004F4EE0">
              <w:rPr>
                <w:rFonts w:cs="Arial"/>
                <w:sz w:val="22"/>
                <w:szCs w:val="22"/>
              </w:rPr>
              <w:t>.</w:t>
            </w:r>
          </w:p>
        </w:tc>
      </w:tr>
      <w:tr w:rsidR="002F3726" w:rsidRPr="004F4EE0" w:rsidTr="004B6555">
        <w:trPr>
          <w:trHeight w:val="144"/>
        </w:trPr>
        <w:tc>
          <w:tcPr>
            <w:tcW w:w="3540" w:type="dxa"/>
          </w:tcPr>
          <w:p w:rsidR="002F3726" w:rsidRPr="00047073" w:rsidRDefault="002F3726" w:rsidP="004B6555">
            <w:pPr>
              <w:rPr>
                <w:rFonts w:cs="Arial"/>
                <w:b/>
              </w:rPr>
            </w:pPr>
            <w:r>
              <w:rPr>
                <w:rFonts w:cs="Arial"/>
                <w:b/>
                <w:sz w:val="22"/>
                <w:szCs w:val="22"/>
              </w:rPr>
              <w:t>The type of work to expect and learning opportunities</w:t>
            </w:r>
          </w:p>
        </w:tc>
        <w:tc>
          <w:tcPr>
            <w:tcW w:w="4988" w:type="dxa"/>
          </w:tcPr>
          <w:p w:rsidR="002F3726" w:rsidRDefault="002F3726" w:rsidP="004B6555">
            <w:pPr>
              <w:jc w:val="both"/>
              <w:rPr>
                <w:rFonts w:cs="Arial"/>
              </w:rPr>
            </w:pPr>
            <w:r w:rsidRPr="00DF3584">
              <w:rPr>
                <w:rFonts w:cs="Arial"/>
                <w:sz w:val="22"/>
                <w:szCs w:val="22"/>
              </w:rPr>
              <w:t xml:space="preserve">All </w:t>
            </w:r>
            <w:r>
              <w:rPr>
                <w:rFonts w:cs="Arial"/>
                <w:sz w:val="22"/>
                <w:szCs w:val="22"/>
              </w:rPr>
              <w:t>F1</w:t>
            </w:r>
            <w:r w:rsidRPr="00DF3584">
              <w:rPr>
                <w:rFonts w:cs="Arial"/>
                <w:sz w:val="22"/>
                <w:szCs w:val="22"/>
              </w:rPr>
              <w:t xml:space="preserve"> Doctors </w:t>
            </w:r>
            <w:r>
              <w:rPr>
                <w:rFonts w:cs="Arial"/>
                <w:sz w:val="22"/>
                <w:szCs w:val="22"/>
              </w:rPr>
              <w:t xml:space="preserve">in hospital posts </w:t>
            </w:r>
            <w:r w:rsidRPr="00DF3584">
              <w:rPr>
                <w:rFonts w:cs="Arial"/>
                <w:sz w:val="22"/>
                <w:szCs w:val="22"/>
              </w:rPr>
              <w:t xml:space="preserve">will </w:t>
            </w:r>
            <w:r>
              <w:rPr>
                <w:rFonts w:cs="Arial"/>
                <w:sz w:val="22"/>
                <w:szCs w:val="22"/>
              </w:rPr>
              <w:t xml:space="preserve">generally </w:t>
            </w:r>
            <w:r w:rsidRPr="00DF3584">
              <w:rPr>
                <w:rFonts w:cs="Arial"/>
                <w:sz w:val="22"/>
                <w:szCs w:val="22"/>
              </w:rPr>
              <w:t>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2F3726" w:rsidRDefault="002F3726" w:rsidP="004B6555">
            <w:pPr>
              <w:jc w:val="both"/>
              <w:rPr>
                <w:rFonts w:cs="Arial"/>
              </w:rPr>
            </w:pPr>
            <w:r w:rsidRPr="00DF3584">
              <w:rPr>
                <w:rFonts w:cs="Arial"/>
                <w:sz w:val="22"/>
                <w:szCs w:val="22"/>
              </w:rPr>
              <w:t xml:space="preserve">The overall educational objectives of </w:t>
            </w:r>
            <w:r>
              <w:rPr>
                <w:rFonts w:cs="Arial"/>
                <w:sz w:val="22"/>
                <w:szCs w:val="22"/>
              </w:rPr>
              <w:t>the F1</w:t>
            </w:r>
            <w:r w:rsidRPr="00DF3584">
              <w:rPr>
                <w:rFonts w:cs="Arial"/>
                <w:sz w:val="22"/>
                <w:szCs w:val="22"/>
              </w:rPr>
              <w:t xml:space="preserve"> year are to provide the trainee with the knowledge, skills and attitudes to be able to </w:t>
            </w:r>
          </w:p>
          <w:p w:rsidR="002F3726" w:rsidRPr="00DF3584" w:rsidRDefault="002F3726" w:rsidP="002F3726">
            <w:pPr>
              <w:numPr>
                <w:ilvl w:val="0"/>
                <w:numId w:val="8"/>
              </w:numPr>
              <w:jc w:val="both"/>
              <w:rPr>
                <w:rFonts w:cs="Arial"/>
              </w:rPr>
            </w:pPr>
            <w:r w:rsidRPr="00DF3584">
              <w:rPr>
                <w:rFonts w:cs="Arial"/>
                <w:sz w:val="22"/>
                <w:szCs w:val="22"/>
              </w:rPr>
              <w:t>Take a history and examine a patient</w:t>
            </w:r>
          </w:p>
          <w:p w:rsidR="002F3726" w:rsidRPr="00DF3584" w:rsidRDefault="002F3726" w:rsidP="002F3726">
            <w:pPr>
              <w:numPr>
                <w:ilvl w:val="0"/>
                <w:numId w:val="7"/>
              </w:numPr>
              <w:jc w:val="both"/>
              <w:rPr>
                <w:rFonts w:cs="Arial"/>
              </w:rPr>
            </w:pPr>
            <w:r w:rsidRPr="00DF3584">
              <w:rPr>
                <w:rFonts w:cs="Arial"/>
                <w:sz w:val="22"/>
                <w:szCs w:val="22"/>
              </w:rPr>
              <w:t>Identify and synthesise problems</w:t>
            </w:r>
          </w:p>
          <w:p w:rsidR="002F3726" w:rsidRPr="00DF3584" w:rsidRDefault="002F3726" w:rsidP="002F3726">
            <w:pPr>
              <w:numPr>
                <w:ilvl w:val="0"/>
                <w:numId w:val="7"/>
              </w:numPr>
              <w:jc w:val="both"/>
              <w:rPr>
                <w:rFonts w:cs="Arial"/>
              </w:rPr>
            </w:pPr>
            <w:r w:rsidRPr="00DF3584">
              <w:rPr>
                <w:rFonts w:cs="Arial"/>
                <w:sz w:val="22"/>
                <w:szCs w:val="22"/>
              </w:rPr>
              <w:t>Prescribe safely</w:t>
            </w:r>
          </w:p>
          <w:p w:rsidR="002F3726" w:rsidRPr="00DF3584" w:rsidRDefault="002F3726" w:rsidP="002F3726">
            <w:pPr>
              <w:numPr>
                <w:ilvl w:val="0"/>
                <w:numId w:val="7"/>
              </w:numPr>
              <w:jc w:val="both"/>
              <w:rPr>
                <w:rFonts w:cs="Arial"/>
              </w:rPr>
            </w:pPr>
            <w:r w:rsidRPr="00DF3584">
              <w:rPr>
                <w:rFonts w:cs="Arial"/>
                <w:sz w:val="22"/>
                <w:szCs w:val="22"/>
              </w:rPr>
              <w:t xml:space="preserve">Keep an accurate and relevant medical record </w:t>
            </w:r>
          </w:p>
          <w:p w:rsidR="002F3726" w:rsidRPr="00DF3584" w:rsidRDefault="002F3726" w:rsidP="002F3726">
            <w:pPr>
              <w:numPr>
                <w:ilvl w:val="0"/>
                <w:numId w:val="7"/>
              </w:numPr>
              <w:jc w:val="both"/>
              <w:rPr>
                <w:rFonts w:cs="Arial"/>
              </w:rPr>
            </w:pPr>
            <w:r w:rsidRPr="00DF3584">
              <w:rPr>
                <w:rFonts w:cs="Arial"/>
                <w:sz w:val="22"/>
                <w:szCs w:val="22"/>
              </w:rPr>
              <w:t>Manage time and clinical priorities effectively</w:t>
            </w:r>
          </w:p>
          <w:p w:rsidR="002F3726" w:rsidRPr="00DF3584" w:rsidRDefault="002F3726" w:rsidP="002F3726">
            <w:pPr>
              <w:numPr>
                <w:ilvl w:val="0"/>
                <w:numId w:val="7"/>
              </w:numPr>
              <w:jc w:val="both"/>
              <w:rPr>
                <w:rFonts w:cs="Arial"/>
              </w:rPr>
            </w:pPr>
            <w:r w:rsidRPr="00DF3584">
              <w:rPr>
                <w:rFonts w:cs="Arial"/>
                <w:sz w:val="22"/>
                <w:szCs w:val="22"/>
              </w:rPr>
              <w:t>Communicate effectively with patients, relatives and colleagues</w:t>
            </w:r>
          </w:p>
          <w:p w:rsidR="002F3726" w:rsidRPr="00DF3584" w:rsidRDefault="002F3726" w:rsidP="002F3726">
            <w:pPr>
              <w:numPr>
                <w:ilvl w:val="0"/>
                <w:numId w:val="7"/>
              </w:numPr>
              <w:jc w:val="both"/>
              <w:rPr>
                <w:rFonts w:cs="Arial"/>
              </w:rPr>
            </w:pPr>
            <w:r w:rsidRPr="00DF3584">
              <w:rPr>
                <w:rFonts w:cs="Arial"/>
                <w:sz w:val="22"/>
                <w:szCs w:val="22"/>
              </w:rPr>
              <w:t>Use evidence, guidelines and audit to benefit patient care</w:t>
            </w:r>
          </w:p>
          <w:p w:rsidR="002F3726" w:rsidRPr="00DF3584" w:rsidRDefault="002F3726" w:rsidP="002F3726">
            <w:pPr>
              <w:numPr>
                <w:ilvl w:val="0"/>
                <w:numId w:val="7"/>
              </w:numPr>
              <w:jc w:val="both"/>
              <w:rPr>
                <w:rFonts w:cs="Arial"/>
              </w:rPr>
            </w:pPr>
            <w:r w:rsidRPr="00DF3584">
              <w:rPr>
                <w:rFonts w:cs="Arial"/>
                <w:sz w:val="22"/>
                <w:szCs w:val="22"/>
              </w:rPr>
              <w:t>Act in a professional manner at all times</w:t>
            </w:r>
          </w:p>
          <w:p w:rsidR="002F3726" w:rsidRPr="00DF3584" w:rsidRDefault="002F3726" w:rsidP="002F3726">
            <w:pPr>
              <w:numPr>
                <w:ilvl w:val="0"/>
                <w:numId w:val="7"/>
              </w:numPr>
              <w:jc w:val="both"/>
              <w:rPr>
                <w:rFonts w:cs="Arial"/>
              </w:rPr>
            </w:pPr>
            <w:r w:rsidRPr="00DF3584">
              <w:rPr>
                <w:rFonts w:cs="Arial"/>
                <w:sz w:val="22"/>
                <w:szCs w:val="22"/>
              </w:rPr>
              <w:t>Cope with ethical and legal issues which occur during the management of patients with general medical problems</w:t>
            </w:r>
          </w:p>
          <w:p w:rsidR="002F3726" w:rsidRPr="00DF3584" w:rsidRDefault="002F3726" w:rsidP="002F3726">
            <w:pPr>
              <w:numPr>
                <w:ilvl w:val="0"/>
                <w:numId w:val="7"/>
              </w:numPr>
              <w:jc w:val="both"/>
              <w:rPr>
                <w:rFonts w:cs="Arial"/>
              </w:rPr>
            </w:pPr>
            <w:r w:rsidRPr="00DF3584">
              <w:rPr>
                <w:rFonts w:cs="Arial"/>
                <w:sz w:val="22"/>
                <w:szCs w:val="22"/>
              </w:rPr>
              <w:t>Educate patients effectively</w:t>
            </w:r>
          </w:p>
          <w:p w:rsidR="002F3726" w:rsidRDefault="002F3726" w:rsidP="002F3726">
            <w:pPr>
              <w:numPr>
                <w:ilvl w:val="0"/>
                <w:numId w:val="7"/>
              </w:numPr>
              <w:jc w:val="both"/>
              <w:rPr>
                <w:rFonts w:cs="Arial"/>
                <w:b/>
              </w:rPr>
            </w:pPr>
            <w:r w:rsidRPr="00DF3584">
              <w:rPr>
                <w:rFonts w:cs="Arial"/>
                <w:sz w:val="22"/>
                <w:szCs w:val="22"/>
              </w:rPr>
              <w:t>Become life-long learners and teachers</w:t>
            </w:r>
            <w:r>
              <w:rPr>
                <w:rFonts w:cs="Arial"/>
                <w:sz w:val="22"/>
                <w:szCs w:val="22"/>
              </w:rPr>
              <w:t>.</w:t>
            </w:r>
          </w:p>
        </w:tc>
      </w:tr>
      <w:tr w:rsidR="002F3726" w:rsidRPr="004F4EE0" w:rsidTr="004B6555">
        <w:trPr>
          <w:trHeight w:val="144"/>
        </w:trPr>
        <w:tc>
          <w:tcPr>
            <w:tcW w:w="3540" w:type="dxa"/>
          </w:tcPr>
          <w:p w:rsidR="002F3726" w:rsidRPr="004F4EE0" w:rsidRDefault="002F3726" w:rsidP="004B6555">
            <w:pPr>
              <w:jc w:val="both"/>
              <w:rPr>
                <w:rFonts w:cs="Arial"/>
                <w:b/>
              </w:rPr>
            </w:pPr>
            <w:r>
              <w:rPr>
                <w:rFonts w:cs="Arial"/>
                <w:b/>
                <w:sz w:val="22"/>
                <w:szCs w:val="22"/>
              </w:rPr>
              <w:t>Where the placement is based</w:t>
            </w:r>
          </w:p>
        </w:tc>
        <w:tc>
          <w:tcPr>
            <w:tcW w:w="4988" w:type="dxa"/>
          </w:tcPr>
          <w:p w:rsidR="002F3726" w:rsidRPr="004F4EE0" w:rsidRDefault="002F3726" w:rsidP="004B6555">
            <w:pPr>
              <w:jc w:val="both"/>
              <w:rPr>
                <w:rFonts w:cs="Arial"/>
                <w:b/>
              </w:rPr>
            </w:pPr>
            <w:proofErr w:type="spellStart"/>
            <w:r>
              <w:rPr>
                <w:rFonts w:cs="Arial"/>
                <w:sz w:val="22"/>
                <w:szCs w:val="22"/>
              </w:rPr>
              <w:t>Anytown</w:t>
            </w:r>
            <w:proofErr w:type="spellEnd"/>
            <w:r>
              <w:rPr>
                <w:rFonts w:cs="Arial"/>
                <w:sz w:val="22"/>
                <w:szCs w:val="22"/>
              </w:rPr>
              <w:t xml:space="preserve"> District General Hospital; Wards P1 &amp; P2.</w:t>
            </w:r>
          </w:p>
        </w:tc>
      </w:tr>
      <w:tr w:rsidR="002F3726" w:rsidRPr="004F4EE0" w:rsidTr="004B6555">
        <w:trPr>
          <w:trHeight w:val="144"/>
        </w:trPr>
        <w:tc>
          <w:tcPr>
            <w:tcW w:w="3540" w:type="dxa"/>
          </w:tcPr>
          <w:p w:rsidR="002F3726" w:rsidRDefault="002F3726" w:rsidP="004B6555">
            <w:pPr>
              <w:jc w:val="both"/>
              <w:rPr>
                <w:rFonts w:cs="Arial"/>
                <w:b/>
              </w:rPr>
            </w:pPr>
            <w:r>
              <w:rPr>
                <w:rFonts w:cs="Arial"/>
                <w:b/>
                <w:sz w:val="22"/>
                <w:szCs w:val="22"/>
              </w:rPr>
              <w:t>Clinical Supervisor(s) for the placement</w:t>
            </w:r>
          </w:p>
        </w:tc>
        <w:tc>
          <w:tcPr>
            <w:tcW w:w="4988" w:type="dxa"/>
          </w:tcPr>
          <w:p w:rsidR="002F3726" w:rsidRPr="00EB538A" w:rsidRDefault="002F3726" w:rsidP="004B6555">
            <w:pPr>
              <w:jc w:val="both"/>
              <w:rPr>
                <w:rFonts w:cs="Arial"/>
              </w:rPr>
            </w:pPr>
            <w:r>
              <w:rPr>
                <w:rFonts w:cs="Arial"/>
                <w:sz w:val="22"/>
                <w:szCs w:val="22"/>
              </w:rPr>
              <w:t>Dr Deirdre Jones &amp; Dr Mark Andrew</w:t>
            </w:r>
          </w:p>
        </w:tc>
      </w:tr>
      <w:tr w:rsidR="002F3726" w:rsidRPr="004F4EE0" w:rsidTr="004B6555">
        <w:trPr>
          <w:trHeight w:val="144"/>
        </w:trPr>
        <w:tc>
          <w:tcPr>
            <w:tcW w:w="3540" w:type="dxa"/>
          </w:tcPr>
          <w:p w:rsidR="002F3726" w:rsidRDefault="002F3726" w:rsidP="004B6555">
            <w:pPr>
              <w:rPr>
                <w:rFonts w:cs="Arial"/>
                <w:b/>
              </w:rPr>
            </w:pPr>
            <w:r>
              <w:rPr>
                <w:rFonts w:cs="Arial"/>
                <w:b/>
                <w:sz w:val="22"/>
                <w:szCs w:val="22"/>
              </w:rPr>
              <w:lastRenderedPageBreak/>
              <w:t>Main duties of the placement</w:t>
            </w:r>
          </w:p>
        </w:tc>
        <w:tc>
          <w:tcPr>
            <w:tcW w:w="4988" w:type="dxa"/>
          </w:tcPr>
          <w:p w:rsidR="002F3726" w:rsidRPr="00511065" w:rsidRDefault="002F3726" w:rsidP="004B6555">
            <w:pPr>
              <w:jc w:val="both"/>
              <w:rPr>
                <w:rFonts w:cs="Arial"/>
              </w:rPr>
            </w:pPr>
            <w:r w:rsidRPr="004F4EE0">
              <w:rPr>
                <w:rFonts w:cs="Arial"/>
                <w:sz w:val="22"/>
                <w:szCs w:val="22"/>
              </w:rPr>
              <w:t xml:space="preserve">The </w:t>
            </w:r>
            <w:r>
              <w:rPr>
                <w:rFonts w:cs="Arial"/>
                <w:sz w:val="22"/>
                <w:szCs w:val="22"/>
              </w:rPr>
              <w:t>F2</w:t>
            </w:r>
            <w:r w:rsidRPr="004F4EE0">
              <w:rPr>
                <w:rFonts w:cs="Arial"/>
                <w:sz w:val="22"/>
                <w:szCs w:val="22"/>
              </w:rPr>
              <w:t xml:space="preserve"> doctor is responsible wit</w:t>
            </w:r>
            <w:r>
              <w:rPr>
                <w:rFonts w:cs="Arial"/>
                <w:sz w:val="22"/>
                <w:szCs w:val="22"/>
              </w:rPr>
              <w:t xml:space="preserve">h </w:t>
            </w:r>
            <w:r w:rsidRPr="004F4EE0">
              <w:rPr>
                <w:rFonts w:cs="Arial"/>
                <w:sz w:val="22"/>
                <w:szCs w:val="22"/>
              </w:rPr>
              <w:t xml:space="preserve">other staff for the ward care of patients and the maintenance of the </w:t>
            </w:r>
            <w:r>
              <w:rPr>
                <w:rFonts w:cs="Arial"/>
                <w:sz w:val="22"/>
                <w:szCs w:val="22"/>
              </w:rPr>
              <w:t xml:space="preserve">patient’s </w:t>
            </w:r>
            <w:r w:rsidRPr="004F4EE0">
              <w:rPr>
                <w:rFonts w:cs="Arial"/>
                <w:sz w:val="22"/>
                <w:szCs w:val="22"/>
              </w:rPr>
              <w:t>medical record. They will have opportunity to work with the consultants in outpatients clinics for at least one day each week, and also take responsibility for prob</w:t>
            </w:r>
            <w:r>
              <w:rPr>
                <w:rFonts w:cs="Arial"/>
                <w:sz w:val="22"/>
                <w:szCs w:val="22"/>
              </w:rPr>
              <w:t>lems arising in General P</w:t>
            </w:r>
            <w:r w:rsidRPr="004F4EE0">
              <w:rPr>
                <w:rFonts w:cs="Arial"/>
                <w:sz w:val="22"/>
                <w:szCs w:val="22"/>
              </w:rPr>
              <w:t>aediatrics or neonatal patients on the ward. They are expected to attend the structured teaching programmes</w:t>
            </w:r>
            <w:r>
              <w:rPr>
                <w:rFonts w:cs="Arial"/>
                <w:sz w:val="22"/>
                <w:szCs w:val="22"/>
              </w:rPr>
              <w:t xml:space="preserve"> provided by the department</w:t>
            </w:r>
            <w:r w:rsidRPr="004F4EE0">
              <w:rPr>
                <w:rFonts w:cs="Arial"/>
                <w:sz w:val="22"/>
                <w:szCs w:val="22"/>
              </w:rPr>
              <w:t xml:space="preserve">. </w:t>
            </w:r>
            <w:r>
              <w:rPr>
                <w:rFonts w:cs="Arial"/>
                <w:sz w:val="22"/>
                <w:szCs w:val="22"/>
              </w:rPr>
              <w:t>The doctor will be responsible for s</w:t>
            </w:r>
            <w:r w:rsidRPr="004F4EE0">
              <w:rPr>
                <w:rFonts w:cs="Arial"/>
                <w:sz w:val="22"/>
                <w:szCs w:val="22"/>
              </w:rPr>
              <w:t>uch other specific clinical dut</w:t>
            </w:r>
            <w:r>
              <w:rPr>
                <w:rFonts w:cs="Arial"/>
                <w:sz w:val="22"/>
                <w:szCs w:val="22"/>
              </w:rPr>
              <w:t>ies as allocated by c</w:t>
            </w:r>
            <w:r w:rsidRPr="004F4EE0">
              <w:rPr>
                <w:rFonts w:cs="Arial"/>
                <w:sz w:val="22"/>
                <w:szCs w:val="22"/>
              </w:rPr>
              <w:t>onsultants including performing other duties in occasional emergencies and unforeseen circumstances</w:t>
            </w:r>
            <w:r>
              <w:rPr>
                <w:rFonts w:cs="Arial"/>
                <w:sz w:val="22"/>
                <w:szCs w:val="22"/>
              </w:rPr>
              <w:t>.</w:t>
            </w:r>
          </w:p>
        </w:tc>
      </w:tr>
      <w:tr w:rsidR="002F3726" w:rsidRPr="004F4EE0" w:rsidTr="004B6555">
        <w:trPr>
          <w:trHeight w:val="144"/>
        </w:trPr>
        <w:tc>
          <w:tcPr>
            <w:tcW w:w="3540" w:type="dxa"/>
          </w:tcPr>
          <w:p w:rsidR="002F3726" w:rsidRDefault="002F3726" w:rsidP="004B6555">
            <w:pPr>
              <w:jc w:val="both"/>
              <w:rPr>
                <w:rFonts w:cs="Arial"/>
                <w:b/>
              </w:rPr>
            </w:pPr>
            <w:r>
              <w:rPr>
                <w:rFonts w:cs="Arial"/>
                <w:b/>
                <w:sz w:val="22"/>
                <w:szCs w:val="22"/>
              </w:rPr>
              <w:t>Typical working pattern in this placement</w:t>
            </w:r>
          </w:p>
        </w:tc>
        <w:tc>
          <w:tcPr>
            <w:tcW w:w="4988" w:type="dxa"/>
          </w:tcPr>
          <w:p w:rsidR="002F3726" w:rsidRDefault="002F3726" w:rsidP="004B6555">
            <w:pPr>
              <w:jc w:val="both"/>
              <w:rPr>
                <w:rFonts w:cs="Arial"/>
              </w:rPr>
            </w:pPr>
            <w:r w:rsidRPr="00395F9E">
              <w:rPr>
                <w:rFonts w:cs="Arial"/>
                <w:i/>
                <w:sz w:val="22"/>
                <w:szCs w:val="22"/>
              </w:rPr>
              <w:t>Daily:</w:t>
            </w:r>
            <w:r w:rsidRPr="00395F9E">
              <w:rPr>
                <w:rFonts w:cs="Arial"/>
                <w:sz w:val="22"/>
                <w:szCs w:val="22"/>
              </w:rPr>
              <w:t xml:space="preserve"> </w:t>
            </w:r>
            <w:r>
              <w:rPr>
                <w:rFonts w:cs="Arial"/>
                <w:sz w:val="22"/>
                <w:szCs w:val="22"/>
              </w:rPr>
              <w:t xml:space="preserve">       0900 Ward round</w:t>
            </w:r>
          </w:p>
          <w:p w:rsidR="002F3726" w:rsidRDefault="002F3726" w:rsidP="004B6555">
            <w:pPr>
              <w:jc w:val="both"/>
              <w:rPr>
                <w:rFonts w:cs="Arial"/>
              </w:rPr>
            </w:pPr>
            <w:r>
              <w:rPr>
                <w:rFonts w:cs="Arial"/>
                <w:sz w:val="22"/>
                <w:szCs w:val="22"/>
              </w:rPr>
              <w:t xml:space="preserve">                 1200/1700/2100   Handover</w:t>
            </w:r>
          </w:p>
          <w:p w:rsidR="002F3726" w:rsidRDefault="002F3726" w:rsidP="004B6555">
            <w:pPr>
              <w:jc w:val="both"/>
              <w:rPr>
                <w:rFonts w:cs="Arial"/>
              </w:rPr>
            </w:pPr>
          </w:p>
          <w:p w:rsidR="002F3726" w:rsidRDefault="002F3726" w:rsidP="004B6555">
            <w:pPr>
              <w:jc w:val="both"/>
              <w:rPr>
                <w:rFonts w:cs="Arial"/>
              </w:rPr>
            </w:pPr>
            <w:r w:rsidRPr="004F4EE0">
              <w:rPr>
                <w:rFonts w:cs="Arial"/>
                <w:sz w:val="22"/>
                <w:szCs w:val="22"/>
              </w:rPr>
              <w:t xml:space="preserve">Mon:         </w:t>
            </w:r>
            <w:r>
              <w:rPr>
                <w:rFonts w:cs="Arial"/>
                <w:sz w:val="22"/>
                <w:szCs w:val="22"/>
              </w:rPr>
              <w:t xml:space="preserve"> 1100 – 1700 A</w:t>
            </w:r>
            <w:r w:rsidRPr="004F4EE0">
              <w:rPr>
                <w:rFonts w:cs="Arial"/>
                <w:sz w:val="22"/>
                <w:szCs w:val="22"/>
              </w:rPr>
              <w:t xml:space="preserve">ssessment </w:t>
            </w:r>
            <w:proofErr w:type="gramStart"/>
            <w:r w:rsidRPr="004F4EE0">
              <w:rPr>
                <w:rFonts w:cs="Arial"/>
                <w:sz w:val="22"/>
                <w:szCs w:val="22"/>
              </w:rPr>
              <w:t>unit</w:t>
            </w:r>
            <w:proofErr w:type="gramEnd"/>
            <w:r w:rsidRPr="004F4EE0">
              <w:rPr>
                <w:rFonts w:cs="Arial"/>
                <w:sz w:val="22"/>
                <w:szCs w:val="22"/>
              </w:rPr>
              <w:t>.</w:t>
            </w:r>
          </w:p>
          <w:p w:rsidR="002F3726" w:rsidRDefault="002F3726" w:rsidP="004B6555">
            <w:pPr>
              <w:jc w:val="both"/>
              <w:rPr>
                <w:rFonts w:cs="Arial"/>
              </w:rPr>
            </w:pPr>
            <w:r>
              <w:rPr>
                <w:rFonts w:cs="Arial"/>
                <w:sz w:val="22"/>
                <w:szCs w:val="22"/>
              </w:rPr>
              <w:t>T</w:t>
            </w:r>
            <w:r w:rsidRPr="004F4EE0">
              <w:rPr>
                <w:rFonts w:cs="Arial"/>
                <w:sz w:val="22"/>
                <w:szCs w:val="22"/>
              </w:rPr>
              <w:t xml:space="preserve">ues:        </w:t>
            </w:r>
            <w:r>
              <w:rPr>
                <w:rFonts w:cs="Arial"/>
                <w:sz w:val="22"/>
                <w:szCs w:val="22"/>
              </w:rPr>
              <w:t>1400  Out patients clinic</w:t>
            </w:r>
          </w:p>
          <w:p w:rsidR="002F3726" w:rsidRDefault="002F3726" w:rsidP="004B6555">
            <w:pPr>
              <w:jc w:val="both"/>
              <w:rPr>
                <w:rFonts w:cs="Arial"/>
              </w:rPr>
            </w:pPr>
            <w:r w:rsidRPr="004F4EE0">
              <w:rPr>
                <w:rFonts w:cs="Arial"/>
                <w:sz w:val="22"/>
                <w:szCs w:val="22"/>
              </w:rPr>
              <w:t xml:space="preserve">Wed:         </w:t>
            </w:r>
            <w:r>
              <w:rPr>
                <w:rFonts w:cs="Arial"/>
                <w:sz w:val="22"/>
                <w:szCs w:val="22"/>
              </w:rPr>
              <w:t>1300  Grand round</w:t>
            </w:r>
          </w:p>
          <w:p w:rsidR="002F3726" w:rsidRDefault="002F3726" w:rsidP="004B6555">
            <w:pPr>
              <w:jc w:val="both"/>
              <w:rPr>
                <w:rFonts w:cs="Arial"/>
              </w:rPr>
            </w:pPr>
            <w:r>
              <w:rPr>
                <w:rFonts w:cs="Arial"/>
                <w:sz w:val="22"/>
                <w:szCs w:val="22"/>
              </w:rPr>
              <w:t xml:space="preserve">                  (1400 formal teaching programme)</w:t>
            </w:r>
          </w:p>
          <w:p w:rsidR="002F3726" w:rsidRDefault="002F3726" w:rsidP="004B6555">
            <w:pPr>
              <w:jc w:val="both"/>
              <w:rPr>
                <w:rFonts w:cs="Arial"/>
              </w:rPr>
            </w:pPr>
            <w:r w:rsidRPr="004F4EE0">
              <w:rPr>
                <w:rFonts w:cs="Arial"/>
                <w:sz w:val="22"/>
                <w:szCs w:val="22"/>
              </w:rPr>
              <w:t xml:space="preserve">Thurs:      </w:t>
            </w:r>
            <w:r>
              <w:rPr>
                <w:rFonts w:cs="Arial"/>
                <w:sz w:val="22"/>
                <w:szCs w:val="22"/>
              </w:rPr>
              <w:t xml:space="preserve"> 1100</w:t>
            </w:r>
            <w:r w:rsidRPr="004F4EE0">
              <w:rPr>
                <w:rFonts w:cs="Arial"/>
                <w:sz w:val="22"/>
                <w:szCs w:val="22"/>
              </w:rPr>
              <w:t xml:space="preserve">  </w:t>
            </w:r>
            <w:r>
              <w:rPr>
                <w:rFonts w:cs="Arial"/>
                <w:sz w:val="22"/>
                <w:szCs w:val="22"/>
              </w:rPr>
              <w:t xml:space="preserve">departmental </w:t>
            </w:r>
            <w:r w:rsidRPr="004F4EE0">
              <w:rPr>
                <w:rFonts w:cs="Arial"/>
                <w:sz w:val="22"/>
                <w:szCs w:val="22"/>
              </w:rPr>
              <w:t>teaching program</w:t>
            </w:r>
          </w:p>
          <w:p w:rsidR="002F3726" w:rsidRDefault="002F3726" w:rsidP="004B6555">
            <w:pPr>
              <w:jc w:val="both"/>
              <w:rPr>
                <w:rFonts w:cs="Arial"/>
              </w:rPr>
            </w:pPr>
            <w:r w:rsidRPr="004F4EE0">
              <w:rPr>
                <w:rFonts w:cs="Arial"/>
                <w:sz w:val="22"/>
                <w:szCs w:val="22"/>
              </w:rPr>
              <w:t xml:space="preserve">Fri:             </w:t>
            </w:r>
            <w:r>
              <w:rPr>
                <w:rFonts w:cs="Arial"/>
                <w:sz w:val="22"/>
                <w:szCs w:val="22"/>
              </w:rPr>
              <w:t>W</w:t>
            </w:r>
            <w:r w:rsidRPr="004F4EE0">
              <w:rPr>
                <w:rFonts w:cs="Arial"/>
                <w:sz w:val="22"/>
                <w:szCs w:val="22"/>
              </w:rPr>
              <w:t xml:space="preserve">ard cover </w:t>
            </w:r>
          </w:p>
          <w:p w:rsidR="002F3726" w:rsidRDefault="002F3726" w:rsidP="004B6555">
            <w:pPr>
              <w:jc w:val="both"/>
              <w:rPr>
                <w:rFonts w:cs="Arial"/>
              </w:rPr>
            </w:pPr>
            <w:r w:rsidRPr="004F4EE0">
              <w:rPr>
                <w:rFonts w:cs="Arial"/>
                <w:sz w:val="22"/>
                <w:szCs w:val="22"/>
              </w:rPr>
              <w:t xml:space="preserve">Sat:            0900 – 2100    </w:t>
            </w:r>
            <w:r>
              <w:rPr>
                <w:rFonts w:cs="Arial"/>
                <w:sz w:val="22"/>
                <w:szCs w:val="22"/>
              </w:rPr>
              <w:t>1</w:t>
            </w:r>
            <w:r w:rsidRPr="004F4EE0">
              <w:rPr>
                <w:rFonts w:cs="Arial"/>
                <w:sz w:val="22"/>
                <w:szCs w:val="22"/>
              </w:rPr>
              <w:t xml:space="preserve"> in 5/6</w:t>
            </w:r>
          </w:p>
          <w:p w:rsidR="002F3726" w:rsidRDefault="002F3726" w:rsidP="004B6555">
            <w:pPr>
              <w:jc w:val="both"/>
              <w:rPr>
                <w:rFonts w:cs="Arial"/>
              </w:rPr>
            </w:pPr>
            <w:r w:rsidRPr="004F4EE0">
              <w:rPr>
                <w:rFonts w:cs="Arial"/>
                <w:sz w:val="22"/>
                <w:szCs w:val="22"/>
              </w:rPr>
              <w:t>Sun:           0900 – 2100   1 in 5/6</w:t>
            </w:r>
          </w:p>
          <w:p w:rsidR="002F3726" w:rsidRDefault="002F3726" w:rsidP="004B6555">
            <w:pPr>
              <w:jc w:val="both"/>
              <w:rPr>
                <w:rFonts w:cs="Arial"/>
              </w:rPr>
            </w:pPr>
          </w:p>
          <w:p w:rsidR="002F3726" w:rsidRDefault="002F3726" w:rsidP="004B6555">
            <w:pPr>
              <w:jc w:val="both"/>
              <w:rPr>
                <w:rFonts w:cs="Arial"/>
                <w:b/>
              </w:rPr>
            </w:pPr>
            <w:r w:rsidRPr="00C70B03">
              <w:rPr>
                <w:rFonts w:cs="Arial"/>
                <w:i/>
                <w:sz w:val="22"/>
                <w:szCs w:val="22"/>
              </w:rPr>
              <w:t>On call requirements:</w:t>
            </w:r>
            <w:r>
              <w:rPr>
                <w:rFonts w:cs="Arial"/>
                <w:b/>
                <w:sz w:val="22"/>
                <w:szCs w:val="22"/>
              </w:rPr>
              <w:t xml:space="preserve"> </w:t>
            </w:r>
          </w:p>
          <w:p w:rsidR="002F3726" w:rsidRPr="00C70B03" w:rsidRDefault="002F3726" w:rsidP="004B6555">
            <w:pPr>
              <w:jc w:val="both"/>
              <w:rPr>
                <w:rFonts w:cs="Arial"/>
              </w:rPr>
            </w:pPr>
            <w:r w:rsidRPr="00C70B03">
              <w:rPr>
                <w:rFonts w:cs="Arial"/>
                <w:sz w:val="22"/>
                <w:szCs w:val="22"/>
              </w:rPr>
              <w:t>1 in 5 with flexible twilight shifts</w:t>
            </w:r>
            <w:r>
              <w:rPr>
                <w:rFonts w:cs="Arial"/>
                <w:sz w:val="22"/>
                <w:szCs w:val="22"/>
              </w:rPr>
              <w:t>.</w:t>
            </w:r>
          </w:p>
        </w:tc>
      </w:tr>
      <w:tr w:rsidR="002F3726" w:rsidRPr="004F4EE0" w:rsidTr="004B6555">
        <w:trPr>
          <w:trHeight w:val="288"/>
        </w:trPr>
        <w:tc>
          <w:tcPr>
            <w:tcW w:w="3540" w:type="dxa"/>
          </w:tcPr>
          <w:p w:rsidR="002F3726" w:rsidRPr="00C70B03" w:rsidRDefault="002F3726" w:rsidP="004B6555">
            <w:pPr>
              <w:rPr>
                <w:rFonts w:cs="Arial"/>
                <w:b/>
              </w:rPr>
            </w:pPr>
            <w:r>
              <w:rPr>
                <w:rFonts w:cs="Arial"/>
                <w:b/>
                <w:sz w:val="22"/>
                <w:szCs w:val="22"/>
              </w:rPr>
              <w:t>Employer information</w:t>
            </w:r>
          </w:p>
        </w:tc>
        <w:tc>
          <w:tcPr>
            <w:tcW w:w="4988" w:type="dxa"/>
          </w:tcPr>
          <w:p w:rsidR="002F3726" w:rsidRDefault="002F3726" w:rsidP="004B6555">
            <w:pPr>
              <w:pStyle w:val="BodyText"/>
              <w:rPr>
                <w:rFonts w:ascii="Arial" w:hAnsi="Arial" w:cs="Arial"/>
                <w:szCs w:val="22"/>
              </w:rPr>
            </w:pPr>
            <w:r>
              <w:rPr>
                <w:rFonts w:ascii="Arial" w:hAnsi="Arial" w:cs="Arial"/>
                <w:szCs w:val="22"/>
              </w:rPr>
              <w:t>The</w:t>
            </w:r>
            <w:r w:rsidRPr="005F4E80">
              <w:rPr>
                <w:rFonts w:ascii="Arial" w:hAnsi="Arial" w:cs="Arial"/>
                <w:szCs w:val="22"/>
              </w:rPr>
              <w:t xml:space="preserve"> employer </w:t>
            </w:r>
            <w:r>
              <w:rPr>
                <w:rFonts w:ascii="Arial" w:hAnsi="Arial" w:cs="Arial"/>
                <w:szCs w:val="22"/>
              </w:rPr>
              <w:t xml:space="preserve">for this post </w:t>
            </w:r>
            <w:r w:rsidRPr="005F4E80">
              <w:rPr>
                <w:rFonts w:ascii="Arial" w:hAnsi="Arial" w:cs="Arial"/>
                <w:szCs w:val="22"/>
              </w:rPr>
              <w:t xml:space="preserve">is </w:t>
            </w:r>
            <w:proofErr w:type="spellStart"/>
            <w:r>
              <w:rPr>
                <w:rFonts w:ascii="Arial" w:hAnsi="Arial" w:cs="Arial"/>
                <w:szCs w:val="22"/>
              </w:rPr>
              <w:t>Smitherton</w:t>
            </w:r>
            <w:proofErr w:type="spellEnd"/>
            <w:r>
              <w:rPr>
                <w:rFonts w:ascii="Arial" w:hAnsi="Arial" w:cs="Arial"/>
                <w:szCs w:val="22"/>
              </w:rPr>
              <w:t xml:space="preserve"> NHS Foundation T</w:t>
            </w:r>
            <w:r w:rsidRPr="005F4E80">
              <w:rPr>
                <w:rFonts w:ascii="Arial" w:hAnsi="Arial" w:cs="Arial"/>
                <w:szCs w:val="22"/>
              </w:rPr>
              <w:t>rust.</w:t>
            </w:r>
            <w:r>
              <w:rPr>
                <w:rFonts w:ascii="Arial" w:hAnsi="Arial" w:cs="Arial"/>
                <w:szCs w:val="22"/>
              </w:rPr>
              <w:t xml:space="preserve"> </w:t>
            </w:r>
          </w:p>
          <w:p w:rsidR="002F3726" w:rsidRDefault="002F3726" w:rsidP="004B6555">
            <w:pPr>
              <w:jc w:val="both"/>
              <w:rPr>
                <w:rFonts w:cs="Arial"/>
              </w:rPr>
            </w:pPr>
            <w:r w:rsidRPr="00EB538A">
              <w:rPr>
                <w:rFonts w:cs="Arial"/>
                <w:sz w:val="22"/>
                <w:szCs w:val="22"/>
              </w:rPr>
              <w:t xml:space="preserve">The </w:t>
            </w:r>
            <w:r>
              <w:rPr>
                <w:rFonts w:cs="Arial"/>
                <w:sz w:val="22"/>
                <w:szCs w:val="22"/>
              </w:rPr>
              <w:t>post</w:t>
            </w:r>
            <w:r w:rsidRPr="00EB538A">
              <w:rPr>
                <w:rFonts w:cs="Arial"/>
                <w:sz w:val="22"/>
                <w:szCs w:val="22"/>
              </w:rPr>
              <w:t xml:space="preserve"> will be based in </w:t>
            </w:r>
            <w:proofErr w:type="spellStart"/>
            <w:r>
              <w:rPr>
                <w:rFonts w:cs="Arial"/>
                <w:sz w:val="22"/>
                <w:szCs w:val="22"/>
              </w:rPr>
              <w:t>Anytown</w:t>
            </w:r>
            <w:proofErr w:type="spellEnd"/>
            <w:r>
              <w:rPr>
                <w:rFonts w:cs="Arial"/>
                <w:sz w:val="22"/>
                <w:szCs w:val="22"/>
              </w:rPr>
              <w:t xml:space="preserve"> District General Hospital</w:t>
            </w:r>
            <w:r w:rsidRPr="00EB538A">
              <w:rPr>
                <w:rFonts w:cs="Arial"/>
                <w:sz w:val="22"/>
                <w:szCs w:val="22"/>
              </w:rPr>
              <w:t xml:space="preserve"> </w:t>
            </w:r>
            <w:proofErr w:type="spellStart"/>
            <w:r>
              <w:rPr>
                <w:rFonts w:cs="Arial"/>
                <w:sz w:val="22"/>
                <w:szCs w:val="22"/>
              </w:rPr>
              <w:t>Smitherton</w:t>
            </w:r>
            <w:proofErr w:type="spellEnd"/>
            <w:r>
              <w:rPr>
                <w:rFonts w:cs="Arial"/>
                <w:sz w:val="22"/>
                <w:szCs w:val="22"/>
              </w:rPr>
              <w:t xml:space="preserve">, </w:t>
            </w:r>
            <w:r w:rsidRPr="00EB538A">
              <w:rPr>
                <w:rFonts w:cs="Arial"/>
                <w:sz w:val="22"/>
                <w:szCs w:val="22"/>
              </w:rPr>
              <w:t>which is a medium sized acute NHS Foundation Trust and provides an extensive range of secondary services for the growing local community of approximately 280,000. About 25% of the population is over 65.   In the summer months the population increases by up to 100,000 visitor</w:t>
            </w:r>
            <w:r>
              <w:rPr>
                <w:rFonts w:cs="Arial"/>
                <w:sz w:val="22"/>
                <w:szCs w:val="22"/>
              </w:rPr>
              <w:t>s.</w:t>
            </w:r>
          </w:p>
        </w:tc>
      </w:tr>
    </w:tbl>
    <w:p w:rsidR="002F3726" w:rsidRDefault="002F3726" w:rsidP="002F3726">
      <w:pPr>
        <w:rPr>
          <w:rFonts w:cs="Arial"/>
          <w:sz w:val="22"/>
          <w:szCs w:val="22"/>
        </w:rPr>
      </w:pPr>
    </w:p>
    <w:p w:rsidR="002F3726" w:rsidRPr="000127C0" w:rsidRDefault="002F3726" w:rsidP="002F3726">
      <w:pPr>
        <w:rPr>
          <w:rFonts w:cs="Arial"/>
          <w:sz w:val="22"/>
          <w:szCs w:val="22"/>
        </w:rPr>
      </w:pPr>
      <w:r>
        <w:rPr>
          <w:rFonts w:cs="Arial"/>
          <w:sz w:val="22"/>
          <w:szCs w:val="22"/>
        </w:rPr>
        <w:t>It is important to note that this description is a typical example of your placement and may be subject to change.</w:t>
      </w:r>
    </w:p>
    <w:p w:rsidR="002F3726" w:rsidRPr="000127C0" w:rsidRDefault="002F3726" w:rsidP="002F3726">
      <w:pPr>
        <w:rPr>
          <w:rFonts w:cs="Arial"/>
          <w:sz w:val="22"/>
          <w:szCs w:val="22"/>
        </w:rPr>
      </w:pPr>
    </w:p>
    <w:p w:rsidR="002F3726" w:rsidRDefault="002F3726" w:rsidP="002F3726"/>
    <w:p w:rsidR="00DF21D4" w:rsidRPr="002F3726" w:rsidRDefault="00DF21D4" w:rsidP="002F3726"/>
    <w:sectPr w:rsidR="00DF21D4" w:rsidRPr="002F3726" w:rsidSect="002D6A01">
      <w:headerReference w:type="default" r:id="rId8"/>
      <w:footerReference w:type="default" r:id="rId9"/>
      <w:pgSz w:w="11906" w:h="16838"/>
      <w:pgMar w:top="1701" w:right="1800" w:bottom="1560"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56A0F8A7" wp14:editId="786FF3DC">
          <wp:simplePos x="0" y="0"/>
          <wp:positionH relativeFrom="column">
            <wp:posOffset>-1372870</wp:posOffset>
          </wp:positionH>
          <wp:positionV relativeFrom="paragraph">
            <wp:posOffset>-141605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535AC903" wp14:editId="5CDE48F0">
          <wp:simplePos x="0" y="0"/>
          <wp:positionH relativeFrom="column">
            <wp:posOffset>3371850</wp:posOffset>
          </wp:positionH>
          <wp:positionV relativeFrom="paragraph">
            <wp:posOffset>-97155</wp:posOffset>
          </wp:positionV>
          <wp:extent cx="2700000" cy="684000"/>
          <wp:effectExtent l="0" t="0" r="571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4"/>
  </w:num>
  <w:num w:numId="4">
    <w:abstractNumId w:val="0"/>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A605D"/>
    <w:rsid w:val="000E4AAE"/>
    <w:rsid w:val="000F4C03"/>
    <w:rsid w:val="002D6A01"/>
    <w:rsid w:val="002F3726"/>
    <w:rsid w:val="00363F01"/>
    <w:rsid w:val="003963AC"/>
    <w:rsid w:val="00472B89"/>
    <w:rsid w:val="005F73FC"/>
    <w:rsid w:val="007950BD"/>
    <w:rsid w:val="008206BB"/>
    <w:rsid w:val="0085290E"/>
    <w:rsid w:val="008C3E0E"/>
    <w:rsid w:val="008F2E22"/>
    <w:rsid w:val="00967A91"/>
    <w:rsid w:val="009919DF"/>
    <w:rsid w:val="00A65291"/>
    <w:rsid w:val="00AB50E2"/>
    <w:rsid w:val="00BC5EC3"/>
    <w:rsid w:val="00C2247A"/>
    <w:rsid w:val="00D22CF2"/>
    <w:rsid w:val="00DF21D4"/>
    <w:rsid w:val="00E2750E"/>
    <w:rsid w:val="00EB508F"/>
    <w:rsid w:val="00EC665C"/>
    <w:rsid w:val="00EE0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3</cp:revision>
  <cp:lastPrinted>2014-01-07T09:15:00Z</cp:lastPrinted>
  <dcterms:created xsi:type="dcterms:W3CDTF">2016-09-21T08:32:00Z</dcterms:created>
  <dcterms:modified xsi:type="dcterms:W3CDTF">2016-09-21T08:33:00Z</dcterms:modified>
</cp:coreProperties>
</file>